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CF6D0" w14:textId="77777777" w:rsidR="002B4BDF" w:rsidRDefault="002B4BDF" w:rsidP="002B4BDF">
      <w:pPr>
        <w:pStyle w:val="Nagwek"/>
        <w:tabs>
          <w:tab w:val="left" w:pos="708"/>
        </w:tabs>
        <w:jc w:val="right"/>
        <w:outlineLvl w:val="0"/>
        <w:rPr>
          <w:sz w:val="20"/>
        </w:rPr>
      </w:pPr>
      <w:bookmarkStart w:id="0" w:name="_GoBack"/>
      <w:bookmarkEnd w:id="0"/>
      <w:r w:rsidRPr="00CF5B2B">
        <w:rPr>
          <w:sz w:val="20"/>
        </w:rPr>
        <w:t>Warszawa,</w:t>
      </w:r>
      <w:r w:rsidR="001D78EE">
        <w:rPr>
          <w:sz w:val="20"/>
        </w:rPr>
        <w:t xml:space="preserve"> </w:t>
      </w:r>
      <w:r w:rsidR="00A00548" w:rsidRPr="00B153E6">
        <w:rPr>
          <w:sz w:val="22"/>
          <w:szCs w:val="22"/>
        </w:rPr>
        <w:t>dnia</w:t>
      </w:r>
      <w:r w:rsidR="00A00548">
        <w:rPr>
          <w:sz w:val="22"/>
          <w:szCs w:val="22"/>
        </w:rPr>
        <w:t xml:space="preserve"> </w:t>
      </w:r>
      <w:r w:rsidR="00BD26BF">
        <w:rPr>
          <w:sz w:val="22"/>
          <w:szCs w:val="22"/>
        </w:rPr>
        <w:t>04.11.2022</w:t>
      </w:r>
      <w:r w:rsidR="00A00548">
        <w:rPr>
          <w:sz w:val="22"/>
          <w:szCs w:val="22"/>
        </w:rPr>
        <w:t xml:space="preserve"> r.</w:t>
      </w:r>
    </w:p>
    <w:p w14:paraId="31756E44" w14:textId="77777777" w:rsidR="002B4BDF" w:rsidRPr="00754E15" w:rsidRDefault="002B4BDF" w:rsidP="002B4BDF">
      <w:pPr>
        <w:pStyle w:val="Nagwek"/>
        <w:tabs>
          <w:tab w:val="left" w:pos="708"/>
        </w:tabs>
        <w:jc w:val="right"/>
        <w:outlineLvl w:val="0"/>
        <w:rPr>
          <w:sz w:val="14"/>
        </w:rPr>
      </w:pPr>
    </w:p>
    <w:p w14:paraId="01140557" w14:textId="121CCA9E" w:rsidR="002671BA" w:rsidRPr="00BD26BF" w:rsidRDefault="00533D23" w:rsidP="002671BA">
      <w:pPr>
        <w:pStyle w:val="Nagwek"/>
        <w:tabs>
          <w:tab w:val="left" w:pos="708"/>
        </w:tabs>
        <w:spacing w:before="60"/>
        <w:jc w:val="center"/>
        <w:outlineLvl w:val="0"/>
        <w:rPr>
          <w:b/>
          <w:szCs w:val="24"/>
        </w:rPr>
      </w:pPr>
      <w:r>
        <w:rPr>
          <w:b/>
          <w:szCs w:val="24"/>
        </w:rPr>
        <w:t>Protokół rozbieżności</w:t>
      </w:r>
    </w:p>
    <w:p w14:paraId="781D9DE3" w14:textId="2165DCB0" w:rsidR="00420EF8" w:rsidRPr="00BD26BF" w:rsidRDefault="00734A24" w:rsidP="00BD26BF">
      <w:pPr>
        <w:pStyle w:val="Nagwek"/>
        <w:tabs>
          <w:tab w:val="left" w:pos="708"/>
        </w:tabs>
        <w:ind w:left="-567"/>
        <w:jc w:val="center"/>
        <w:rPr>
          <w:b/>
          <w:szCs w:val="24"/>
        </w:rPr>
      </w:pPr>
      <w:r w:rsidRPr="00BD26BF">
        <w:rPr>
          <w:b/>
          <w:szCs w:val="24"/>
        </w:rPr>
        <w:t xml:space="preserve">do </w:t>
      </w:r>
      <w:r w:rsidR="00BD26BF" w:rsidRPr="00BD26BF">
        <w:rPr>
          <w:b/>
          <w:szCs w:val="24"/>
        </w:rPr>
        <w:t xml:space="preserve">projektu rozporządzenia Ministra Cyfryzacji w sprawie udzielania </w:t>
      </w:r>
      <w:r w:rsidR="00533D23">
        <w:rPr>
          <w:b/>
          <w:szCs w:val="24"/>
        </w:rPr>
        <w:t>pomocy</w:t>
      </w:r>
      <w:r w:rsidR="00BD26BF" w:rsidRPr="00BD26BF">
        <w:rPr>
          <w:b/>
          <w:szCs w:val="24"/>
        </w:rPr>
        <w:t xml:space="preserve"> na rozwój infrastruktury szerokopasmowej w ramach Krajowego Planu Odbudowy i Zwiększenia Odporności</w:t>
      </w:r>
    </w:p>
    <w:p w14:paraId="16B410C0" w14:textId="7595D6CD" w:rsidR="00A00548" w:rsidRDefault="00A00548" w:rsidP="00176D2E">
      <w:pPr>
        <w:pStyle w:val="Nagwek"/>
        <w:tabs>
          <w:tab w:val="left" w:pos="708"/>
        </w:tabs>
        <w:jc w:val="center"/>
        <w:rPr>
          <w:szCs w:val="24"/>
        </w:rPr>
      </w:pPr>
      <w:r>
        <w:rPr>
          <w:szCs w:val="24"/>
        </w:rPr>
        <w:t>(Nr w wykazie –</w:t>
      </w:r>
      <w:r w:rsidR="00BD26BF" w:rsidRPr="00BD26BF">
        <w:rPr>
          <w:rFonts w:eastAsia="Calibri"/>
          <w:color w:val="000000"/>
          <w:szCs w:val="24"/>
          <w:lang w:eastAsia="en-US"/>
        </w:rPr>
        <w:t xml:space="preserve"> </w:t>
      </w:r>
      <w:r w:rsidR="00BD26BF">
        <w:rPr>
          <w:rFonts w:eastAsia="Calibri"/>
          <w:color w:val="000000"/>
          <w:szCs w:val="24"/>
          <w:lang w:eastAsia="en-US"/>
        </w:rPr>
        <w:t>WPL MC nr 191</w:t>
      </w:r>
      <w:r>
        <w:rPr>
          <w:szCs w:val="24"/>
        </w:rPr>
        <w:t>)</w:t>
      </w:r>
    </w:p>
    <w:p w14:paraId="14F360C2" w14:textId="77777777" w:rsidR="00BE3AD4" w:rsidRDefault="00FD6170" w:rsidP="00FD6170">
      <w:pPr>
        <w:pStyle w:val="Nagwek"/>
        <w:tabs>
          <w:tab w:val="left" w:pos="708"/>
        </w:tabs>
        <w:jc w:val="center"/>
        <w:rPr>
          <w:b/>
          <w:szCs w:val="24"/>
        </w:rPr>
      </w:pPr>
      <w:r>
        <w:rPr>
          <w:noProof/>
          <w:sz w:val="16"/>
          <w:szCs w:val="16"/>
        </w:rPr>
        <mc:AlternateContent>
          <mc:Choice Requires="wps">
            <w:drawing>
              <wp:anchor distT="0" distB="0" distL="114300" distR="114300" simplePos="0" relativeHeight="251661312" behindDoc="0" locked="0" layoutInCell="1" allowOverlap="1" wp14:anchorId="6170C68B" wp14:editId="3E7D9CEF">
                <wp:simplePos x="0" y="0"/>
                <wp:positionH relativeFrom="column">
                  <wp:posOffset>5080</wp:posOffset>
                </wp:positionH>
                <wp:positionV relativeFrom="paragraph">
                  <wp:posOffset>36830</wp:posOffset>
                </wp:positionV>
                <wp:extent cx="9635490" cy="0"/>
                <wp:effectExtent l="0" t="0" r="22860"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35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524F48" id="Łącznik prostoliniow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pt" to="759.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" strokeweight="1.5pt"/>
            </w:pict>
          </mc:Fallback>
        </mc:AlternateContent>
      </w:r>
    </w:p>
    <w:tbl>
      <w:tblPr>
        <w:tblStyle w:val="Tabela-Siatka1"/>
        <w:tblW w:w="0" w:type="auto"/>
        <w:tblLook w:val="04A0" w:firstRow="1" w:lastRow="0" w:firstColumn="1" w:lastColumn="0" w:noHBand="0" w:noVBand="1"/>
      </w:tblPr>
      <w:tblGrid>
        <w:gridCol w:w="15021"/>
      </w:tblGrid>
      <w:tr w:rsidR="002C6959" w:rsidRPr="00EE6200" w14:paraId="6C8CBF14" w14:textId="77777777" w:rsidTr="00440BCC">
        <w:trPr>
          <w:trHeight w:val="419"/>
        </w:trPr>
        <w:tc>
          <w:tcPr>
            <w:tcW w:w="15021" w:type="dxa"/>
            <w:shd w:val="clear" w:color="auto" w:fill="D9D9D9" w:themeFill="background1" w:themeFillShade="D9"/>
            <w:vAlign w:val="center"/>
          </w:tcPr>
          <w:p w14:paraId="57D39F22" w14:textId="77777777" w:rsidR="002C6959" w:rsidRPr="00EE6200" w:rsidRDefault="00E3522A" w:rsidP="00BD26BF">
            <w:pPr>
              <w:pStyle w:val="Akapitzlist"/>
              <w:numPr>
                <w:ilvl w:val="0"/>
                <w:numId w:val="1"/>
              </w:numPr>
              <w:autoSpaceDE w:val="0"/>
              <w:autoSpaceDN w:val="0"/>
              <w:adjustRightInd w:val="0"/>
              <w:spacing w:line="360" w:lineRule="auto"/>
              <w:ind w:left="0" w:firstLine="0"/>
              <w:jc w:val="center"/>
              <w:rPr>
                <w:rFonts w:eastAsiaTheme="minorHAnsi"/>
                <w:b/>
                <w:bCs w:val="0"/>
                <w:sz w:val="21"/>
                <w:szCs w:val="21"/>
                <w:lang w:eastAsia="en-US"/>
              </w:rPr>
            </w:pPr>
            <w:r>
              <w:rPr>
                <w:rFonts w:eastAsiaTheme="minorHAnsi"/>
                <w:b/>
                <w:bCs w:val="0"/>
                <w:sz w:val="21"/>
                <w:szCs w:val="21"/>
                <w:lang w:eastAsia="en-US"/>
              </w:rPr>
              <w:t xml:space="preserve">Rządowe Centrum Legislacji </w:t>
            </w:r>
          </w:p>
        </w:tc>
      </w:tr>
    </w:tbl>
    <w:tbl>
      <w:tblPr>
        <w:tblStyle w:val="Tabela-Siatka"/>
        <w:tblW w:w="0" w:type="auto"/>
        <w:tblLook w:val="04A0" w:firstRow="1" w:lastRow="0" w:firstColumn="1" w:lastColumn="0" w:noHBand="0" w:noVBand="1"/>
      </w:tblPr>
      <w:tblGrid>
        <w:gridCol w:w="804"/>
        <w:gridCol w:w="6704"/>
        <w:gridCol w:w="7513"/>
      </w:tblGrid>
      <w:tr w:rsidR="002C6959" w:rsidRPr="00EE6200" w14:paraId="7A39B322" w14:textId="77777777" w:rsidTr="00440BCC">
        <w:trPr>
          <w:trHeight w:val="291"/>
        </w:trPr>
        <w:tc>
          <w:tcPr>
            <w:tcW w:w="804" w:type="dxa"/>
            <w:shd w:val="clear" w:color="auto" w:fill="D9D9D9" w:themeFill="background1" w:themeFillShade="D9"/>
          </w:tcPr>
          <w:p w14:paraId="6E8B5966" w14:textId="77777777" w:rsidR="002C6959" w:rsidRPr="00EE6200" w:rsidRDefault="002C6959" w:rsidP="002159C4">
            <w:pPr>
              <w:rPr>
                <w:sz w:val="21"/>
                <w:szCs w:val="21"/>
              </w:rPr>
            </w:pPr>
            <w:r w:rsidRPr="00EE6200">
              <w:rPr>
                <w:sz w:val="21"/>
                <w:szCs w:val="21"/>
              </w:rPr>
              <w:t>Lp.</w:t>
            </w:r>
          </w:p>
        </w:tc>
        <w:tc>
          <w:tcPr>
            <w:tcW w:w="6704" w:type="dxa"/>
            <w:shd w:val="clear" w:color="auto" w:fill="D9D9D9" w:themeFill="background1" w:themeFillShade="D9"/>
            <w:vAlign w:val="center"/>
          </w:tcPr>
          <w:p w14:paraId="72F19710" w14:textId="77777777" w:rsidR="002C6959" w:rsidRPr="00EE6200" w:rsidRDefault="00E3522A" w:rsidP="00E3522A">
            <w:pPr>
              <w:jc w:val="center"/>
              <w:rPr>
                <w:sz w:val="21"/>
                <w:szCs w:val="21"/>
              </w:rPr>
            </w:pPr>
            <w:r>
              <w:rPr>
                <w:sz w:val="21"/>
                <w:szCs w:val="21"/>
              </w:rPr>
              <w:t>Uwaga</w:t>
            </w:r>
          </w:p>
        </w:tc>
        <w:tc>
          <w:tcPr>
            <w:tcW w:w="7513" w:type="dxa"/>
            <w:shd w:val="clear" w:color="auto" w:fill="D9D9D9" w:themeFill="background1" w:themeFillShade="D9"/>
            <w:vAlign w:val="center"/>
          </w:tcPr>
          <w:p w14:paraId="393D2824" w14:textId="77777777" w:rsidR="002C6959" w:rsidRPr="00EE6200" w:rsidRDefault="002C6959" w:rsidP="00E3522A">
            <w:pPr>
              <w:jc w:val="center"/>
              <w:rPr>
                <w:sz w:val="21"/>
                <w:szCs w:val="21"/>
              </w:rPr>
            </w:pPr>
            <w:r w:rsidRPr="00EE6200">
              <w:rPr>
                <w:sz w:val="21"/>
                <w:szCs w:val="21"/>
              </w:rPr>
              <w:t xml:space="preserve">Stanowisko </w:t>
            </w:r>
            <w:r w:rsidR="00E3522A">
              <w:rPr>
                <w:sz w:val="21"/>
                <w:szCs w:val="21"/>
              </w:rPr>
              <w:t>MC</w:t>
            </w:r>
          </w:p>
        </w:tc>
      </w:tr>
      <w:tr w:rsidR="002D0E10" w:rsidRPr="004F7017" w14:paraId="0A16FBEC" w14:textId="77777777" w:rsidTr="00440BCC">
        <w:tc>
          <w:tcPr>
            <w:tcW w:w="804" w:type="dxa"/>
            <w:vAlign w:val="center"/>
          </w:tcPr>
          <w:p w14:paraId="129A1930" w14:textId="77777777" w:rsidR="002D0E10" w:rsidRPr="00EE6200" w:rsidRDefault="002D0E10"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1</w:t>
            </w:r>
            <w:r w:rsidR="002A7F31">
              <w:rPr>
                <w:rFonts w:eastAsiaTheme="minorHAnsi"/>
                <w:b/>
                <w:bCs w:val="0"/>
                <w:sz w:val="21"/>
                <w:szCs w:val="21"/>
                <w:lang w:eastAsia="en-US"/>
              </w:rPr>
              <w:t>.</w:t>
            </w:r>
          </w:p>
        </w:tc>
        <w:tc>
          <w:tcPr>
            <w:tcW w:w="6704" w:type="dxa"/>
          </w:tcPr>
          <w:p w14:paraId="3CC50767" w14:textId="77777777" w:rsidR="002D0E10" w:rsidRPr="00E3522A" w:rsidRDefault="00E3522A" w:rsidP="00E3522A">
            <w:pPr>
              <w:rPr>
                <w:rFonts w:asciiTheme="minorHAnsi" w:hAnsiTheme="minorHAnsi" w:cstheme="minorHAnsi"/>
                <w:sz w:val="22"/>
                <w:szCs w:val="22"/>
              </w:rPr>
            </w:pPr>
            <w:r w:rsidRPr="00BC7F97">
              <w:rPr>
                <w:rFonts w:asciiTheme="minorHAnsi" w:hAnsiTheme="minorHAnsi" w:cstheme="minorHAnsi"/>
                <w:sz w:val="22"/>
                <w:szCs w:val="22"/>
              </w:rPr>
              <w:t>§ 4 ust. 2</w:t>
            </w:r>
            <w:r>
              <w:rPr>
                <w:rFonts w:asciiTheme="minorHAnsi" w:hAnsiTheme="minorHAnsi" w:cstheme="minorHAnsi"/>
                <w:sz w:val="22"/>
                <w:szCs w:val="22"/>
              </w:rPr>
              <w:t xml:space="preserve"> - P</w:t>
            </w:r>
            <w:r w:rsidRPr="000A353E">
              <w:rPr>
                <w:rFonts w:asciiTheme="minorHAnsi" w:hAnsiTheme="minorHAnsi" w:cstheme="minorHAnsi"/>
                <w:sz w:val="22"/>
                <w:szCs w:val="22"/>
              </w:rPr>
              <w:t>odkreślić należy, iż przepis, odnosząc się do 3-letniego okresu, w którym</w:t>
            </w:r>
            <w:r>
              <w:rPr>
                <w:rFonts w:asciiTheme="minorHAnsi" w:hAnsiTheme="minorHAnsi" w:cstheme="minorHAnsi"/>
                <w:sz w:val="22"/>
                <w:szCs w:val="22"/>
              </w:rPr>
              <w:t xml:space="preserve"> </w:t>
            </w:r>
            <w:r w:rsidRPr="000A353E">
              <w:rPr>
                <w:rFonts w:asciiTheme="minorHAnsi" w:hAnsiTheme="minorHAnsi" w:cstheme="minorHAnsi"/>
                <w:sz w:val="22"/>
                <w:szCs w:val="22"/>
              </w:rPr>
              <w:t>nie planuje się powstania sieci NGA, nie określa momentu, od którego należy liczyć bieg tego</w:t>
            </w:r>
            <w:r>
              <w:rPr>
                <w:rFonts w:asciiTheme="minorHAnsi" w:hAnsiTheme="minorHAnsi" w:cstheme="minorHAnsi"/>
                <w:sz w:val="22"/>
                <w:szCs w:val="22"/>
              </w:rPr>
              <w:t xml:space="preserve"> </w:t>
            </w:r>
            <w:r w:rsidRPr="000A353E">
              <w:rPr>
                <w:rFonts w:asciiTheme="minorHAnsi" w:hAnsiTheme="minorHAnsi" w:cstheme="minorHAnsi"/>
                <w:sz w:val="22"/>
                <w:szCs w:val="22"/>
              </w:rPr>
              <w:t>okresu. Obecne brzmienie przepisu sugerować może bowiem, że początkiem biegu tego</w:t>
            </w:r>
            <w:r>
              <w:rPr>
                <w:rFonts w:asciiTheme="minorHAnsi" w:hAnsiTheme="minorHAnsi" w:cstheme="minorHAnsi"/>
                <w:sz w:val="22"/>
                <w:szCs w:val="22"/>
              </w:rPr>
              <w:t xml:space="preserve"> </w:t>
            </w:r>
            <w:r w:rsidRPr="000A353E">
              <w:rPr>
                <w:rFonts w:asciiTheme="minorHAnsi" w:hAnsiTheme="minorHAnsi" w:cstheme="minorHAnsi"/>
                <w:sz w:val="22"/>
                <w:szCs w:val="22"/>
              </w:rPr>
              <w:t>terminu jest dzień wejścia w życie rozporządzenia – wskazać należy, czy taka jest intencja</w:t>
            </w:r>
            <w:r>
              <w:rPr>
                <w:rFonts w:asciiTheme="minorHAnsi" w:hAnsiTheme="minorHAnsi" w:cstheme="minorHAnsi"/>
                <w:sz w:val="22"/>
                <w:szCs w:val="22"/>
              </w:rPr>
              <w:t xml:space="preserve"> </w:t>
            </w:r>
            <w:r w:rsidRPr="000A353E">
              <w:rPr>
                <w:rFonts w:asciiTheme="minorHAnsi" w:hAnsiTheme="minorHAnsi" w:cstheme="minorHAnsi"/>
                <w:sz w:val="22"/>
                <w:szCs w:val="22"/>
              </w:rPr>
              <w:t>Wnioskodawcy. W tej mierze art. 52 ust. 3 lit. b rozporządzenia Komisji (UE) nr 651/2014stanowi o „planowaniu rozwoju sieci w wiarygodny sposób w ciągu trzech lat od daty</w:t>
            </w:r>
            <w:r>
              <w:rPr>
                <w:rFonts w:asciiTheme="minorHAnsi" w:hAnsiTheme="minorHAnsi" w:cstheme="minorHAnsi"/>
                <w:sz w:val="22"/>
                <w:szCs w:val="22"/>
              </w:rPr>
              <w:t xml:space="preserve"> </w:t>
            </w:r>
            <w:r w:rsidRPr="000A353E">
              <w:rPr>
                <w:rFonts w:asciiTheme="minorHAnsi" w:hAnsiTheme="minorHAnsi" w:cstheme="minorHAnsi"/>
                <w:sz w:val="22"/>
                <w:szCs w:val="22"/>
              </w:rPr>
              <w:t>opublikowania planowanego środka pomocy”, co może także oznaczać otwarcie procedury</w:t>
            </w:r>
            <w:r>
              <w:rPr>
                <w:rFonts w:asciiTheme="minorHAnsi" w:hAnsiTheme="minorHAnsi" w:cstheme="minorHAnsi"/>
                <w:sz w:val="22"/>
                <w:szCs w:val="22"/>
              </w:rPr>
              <w:t xml:space="preserve"> wyboru.</w:t>
            </w:r>
          </w:p>
        </w:tc>
        <w:tc>
          <w:tcPr>
            <w:tcW w:w="7513" w:type="dxa"/>
          </w:tcPr>
          <w:p w14:paraId="6DB9C066" w14:textId="77777777" w:rsidR="002D0E10" w:rsidRPr="00E30013" w:rsidRDefault="00E3522A" w:rsidP="00E3522A">
            <w:pPr>
              <w:autoSpaceDE w:val="0"/>
              <w:autoSpaceDN w:val="0"/>
              <w:adjustRightInd w:val="0"/>
              <w:spacing w:before="60" w:after="60"/>
              <w:jc w:val="both"/>
              <w:rPr>
                <w:rFonts w:eastAsiaTheme="minorHAnsi"/>
                <w:b/>
                <w:bCs w:val="0"/>
                <w:sz w:val="21"/>
                <w:szCs w:val="21"/>
                <w:lang w:eastAsia="en-US"/>
              </w:rPr>
            </w:pPr>
            <w:r>
              <w:rPr>
                <w:rFonts w:asciiTheme="minorHAnsi" w:hAnsiTheme="minorHAnsi" w:cstheme="minorHAnsi"/>
                <w:sz w:val="22"/>
                <w:szCs w:val="22"/>
              </w:rPr>
              <w:t>W dotychczasowej praktyce stosowania przepisów GBER w zakresie wyznaczania obszarów docelowych wsparcia (praktyka związana z wdrażaniem I osi priorytetowej Programu Operacyjnego Polska Cyfrowa, dla której obowiązuje podobne do projektowanego rozporządzenie Ministra Administracji i Cyfryzacji z dnia 16 września 2015 r. w sprawie udzielania pomocy na rozwój infrastruktury szerokopasmowej w ramach Programu Operacyjnego Polska Cyfrowa) okres 3 lat liczony był od momentu ogłoszenia konsultacji społecznych, o których mowa w różnych jednostkach redakcyjnych art. 52 GBER. Niemniej, przez środek pomocy, o którym mowa w art. 52 ust. 3 lit. b GBER, może być rozumiane również samo projektowane rozporządzenie, jak i otwarcie procedury wyboru, o czym mowa w uwadze. Z tego względu w projektowanych przepisach proponuje się nie rozstrzygać, od którego momentu należy liczyć 3-letni okres odniesienia dla komercyjnych planów inwestycyjnych. Niemniej, w ramach planowanego wykonania przepisów projektowanego rozporządzenia przyjęcie każdej z ww. interpretacji „środka pomocy” będzie neutralne dla biegu 3-letniego okresu odniesienia, bowiem zarówno przyjęcie projektowanego rozporządzenia, ogłoszenie konsultacji społecznych oraz ogłoszenie konkurencyjnej procedury wyboru nastąpi w tym samym roku, a 3-letni okres odniesienia obejmuje kolejne 3 pełne lata kalendarzowe.</w:t>
            </w:r>
          </w:p>
        </w:tc>
      </w:tr>
      <w:tr w:rsidR="002D0E10" w:rsidRPr="004F7017" w14:paraId="7ADB371A" w14:textId="77777777" w:rsidTr="00440BCC">
        <w:tc>
          <w:tcPr>
            <w:tcW w:w="804" w:type="dxa"/>
            <w:vAlign w:val="center"/>
          </w:tcPr>
          <w:p w14:paraId="2ECB51BF" w14:textId="77777777" w:rsidR="002D0E10" w:rsidRDefault="002A7F31"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2.</w:t>
            </w:r>
          </w:p>
        </w:tc>
        <w:tc>
          <w:tcPr>
            <w:tcW w:w="6704" w:type="dxa"/>
          </w:tcPr>
          <w:p w14:paraId="490BCB07" w14:textId="77777777" w:rsidR="002A7F31" w:rsidRDefault="002A7F31" w:rsidP="002A7F31">
            <w:pPr>
              <w:rPr>
                <w:rFonts w:asciiTheme="minorHAnsi" w:hAnsiTheme="minorHAnsi" w:cstheme="minorHAnsi"/>
                <w:sz w:val="22"/>
                <w:szCs w:val="22"/>
              </w:rPr>
            </w:pPr>
            <w:r w:rsidRPr="000A353E">
              <w:rPr>
                <w:rFonts w:asciiTheme="minorHAnsi" w:hAnsiTheme="minorHAnsi" w:cstheme="minorHAnsi"/>
                <w:sz w:val="22"/>
                <w:szCs w:val="22"/>
              </w:rPr>
              <w:t>ust. 3 w § 4 projektu zawiera regulację dotyczącą „ustalania” listy obszarów czy</w:t>
            </w:r>
            <w:r>
              <w:rPr>
                <w:rFonts w:asciiTheme="minorHAnsi" w:hAnsiTheme="minorHAnsi" w:cstheme="minorHAnsi"/>
                <w:sz w:val="22"/>
                <w:szCs w:val="22"/>
              </w:rPr>
              <w:t xml:space="preserve"> </w:t>
            </w:r>
            <w:r w:rsidRPr="000A353E">
              <w:rPr>
                <w:rFonts w:asciiTheme="minorHAnsi" w:hAnsiTheme="minorHAnsi" w:cstheme="minorHAnsi"/>
                <w:sz w:val="22"/>
                <w:szCs w:val="22"/>
              </w:rPr>
              <w:t>podstawy takiej listy, czyli informacji o istniejącej oraz planowanej infrastrukturze</w:t>
            </w:r>
            <w:r>
              <w:rPr>
                <w:rFonts w:asciiTheme="minorHAnsi" w:hAnsiTheme="minorHAnsi" w:cstheme="minorHAnsi"/>
                <w:sz w:val="22"/>
                <w:szCs w:val="22"/>
              </w:rPr>
              <w:t xml:space="preserve"> </w:t>
            </w:r>
            <w:r w:rsidRPr="000A353E">
              <w:rPr>
                <w:rFonts w:asciiTheme="minorHAnsi" w:hAnsiTheme="minorHAnsi" w:cstheme="minorHAnsi"/>
                <w:sz w:val="22"/>
                <w:szCs w:val="22"/>
              </w:rPr>
              <w:t>szerokopasmowej umożliwiającej świadczenie usług o przepustowości określonej w § 2 pkt 1.</w:t>
            </w:r>
            <w:r>
              <w:rPr>
                <w:rFonts w:asciiTheme="minorHAnsi" w:hAnsiTheme="minorHAnsi" w:cstheme="minorHAnsi"/>
                <w:sz w:val="22"/>
                <w:szCs w:val="22"/>
              </w:rPr>
              <w:t xml:space="preserve"> </w:t>
            </w:r>
            <w:r w:rsidRPr="000A353E">
              <w:rPr>
                <w:rFonts w:asciiTheme="minorHAnsi" w:hAnsiTheme="minorHAnsi" w:cstheme="minorHAnsi"/>
                <w:sz w:val="22"/>
                <w:szCs w:val="22"/>
              </w:rPr>
              <w:t>Zarówno w przypadku listy i informacji nie wskazano jednak podmiotu odpowiedzialnego za</w:t>
            </w:r>
            <w:r>
              <w:rPr>
                <w:rFonts w:asciiTheme="minorHAnsi" w:hAnsiTheme="minorHAnsi" w:cstheme="minorHAnsi"/>
                <w:sz w:val="22"/>
                <w:szCs w:val="22"/>
              </w:rPr>
              <w:t xml:space="preserve"> </w:t>
            </w:r>
            <w:r w:rsidRPr="000A353E">
              <w:rPr>
                <w:rFonts w:asciiTheme="minorHAnsi" w:hAnsiTheme="minorHAnsi" w:cstheme="minorHAnsi"/>
                <w:sz w:val="22"/>
                <w:szCs w:val="22"/>
              </w:rPr>
              <w:t xml:space="preserve">ich sporządzenia/ustalenie. </w:t>
            </w:r>
          </w:p>
          <w:p w14:paraId="64789FAF" w14:textId="77777777" w:rsidR="002A7F31" w:rsidRPr="00A06425" w:rsidRDefault="002A7F31" w:rsidP="002A7F31">
            <w:pPr>
              <w:rPr>
                <w:rFonts w:asciiTheme="minorHAnsi" w:hAnsiTheme="minorHAnsi" w:cstheme="minorHAnsi"/>
                <w:sz w:val="22"/>
                <w:szCs w:val="22"/>
              </w:rPr>
            </w:pPr>
            <w:r w:rsidRPr="000A353E">
              <w:rPr>
                <w:rFonts w:asciiTheme="minorHAnsi" w:hAnsiTheme="minorHAnsi" w:cstheme="minorHAnsi"/>
                <w:sz w:val="22"/>
                <w:szCs w:val="22"/>
              </w:rPr>
              <w:lastRenderedPageBreak/>
              <w:t>Wobec powyższego przepis należy uzupełnić o powyższe kwestie</w:t>
            </w:r>
            <w:r>
              <w:rPr>
                <w:rFonts w:asciiTheme="minorHAnsi" w:hAnsiTheme="minorHAnsi" w:cstheme="minorHAnsi"/>
                <w:sz w:val="22"/>
                <w:szCs w:val="22"/>
              </w:rPr>
              <w:t xml:space="preserve"> </w:t>
            </w:r>
            <w:r w:rsidRPr="000A353E">
              <w:rPr>
                <w:rFonts w:asciiTheme="minorHAnsi" w:hAnsiTheme="minorHAnsi" w:cstheme="minorHAnsi"/>
                <w:sz w:val="22"/>
                <w:szCs w:val="22"/>
              </w:rPr>
              <w:t>albo wyjaśnić zasadność takiego pominięcia (nie jest bowiem jasne, czy Wnioskodawca, wskazując na podmiot udzielający wsparcia uznał, iż jest on właściwy we wszystkich sprawach prowadzący</w:t>
            </w:r>
            <w:r>
              <w:rPr>
                <w:rFonts w:asciiTheme="minorHAnsi" w:hAnsiTheme="minorHAnsi" w:cstheme="minorHAnsi"/>
                <w:sz w:val="22"/>
                <w:szCs w:val="22"/>
              </w:rPr>
              <w:t>ch finalnie do jego udzielenia).</w:t>
            </w:r>
          </w:p>
          <w:p w14:paraId="0292FC1B" w14:textId="77777777" w:rsidR="002D0E10" w:rsidRPr="00F61038" w:rsidRDefault="002D0E10" w:rsidP="00563958">
            <w:pPr>
              <w:jc w:val="both"/>
              <w:rPr>
                <w:sz w:val="21"/>
                <w:szCs w:val="21"/>
              </w:rPr>
            </w:pPr>
          </w:p>
        </w:tc>
        <w:tc>
          <w:tcPr>
            <w:tcW w:w="7513" w:type="dxa"/>
          </w:tcPr>
          <w:p w14:paraId="5BDE5121" w14:textId="77777777" w:rsidR="002D0E10" w:rsidRPr="00E30013" w:rsidRDefault="002A7F31" w:rsidP="002159C4">
            <w:pPr>
              <w:autoSpaceDE w:val="0"/>
              <w:autoSpaceDN w:val="0"/>
              <w:adjustRightInd w:val="0"/>
              <w:spacing w:before="60" w:after="60"/>
              <w:jc w:val="both"/>
              <w:rPr>
                <w:rFonts w:eastAsiaTheme="minorHAnsi"/>
                <w:b/>
                <w:bCs w:val="0"/>
                <w:sz w:val="21"/>
                <w:szCs w:val="21"/>
                <w:lang w:eastAsia="en-US"/>
              </w:rPr>
            </w:pPr>
            <w:r>
              <w:rPr>
                <w:rFonts w:asciiTheme="minorHAnsi" w:hAnsiTheme="minorHAnsi" w:cstheme="minorHAnsi"/>
                <w:sz w:val="22"/>
                <w:szCs w:val="22"/>
              </w:rPr>
              <w:lastRenderedPageBreak/>
              <w:t xml:space="preserve">W opinii projektodawcy nie jest zasadne jednoznaczne wskazywanie podmiotu odpowiedzialnego za ustalenie listy obszarów, na których mogą być realizowane przedsięwzięcia objęte pomocą udzielaną na podstawie projektowanego rozporządzenia. Źródła informacji na temat istniejącej i planowanej infrastruktury są różnorodne, nie jest możliwe wymienienie ich wszystkich, w związku z czym nie jest również możliwe wymienienie wszystkich podmiotów uczestniczących w </w:t>
            </w:r>
            <w:r>
              <w:rPr>
                <w:rFonts w:asciiTheme="minorHAnsi" w:hAnsiTheme="minorHAnsi" w:cstheme="minorHAnsi"/>
                <w:sz w:val="22"/>
                <w:szCs w:val="22"/>
              </w:rPr>
              <w:lastRenderedPageBreak/>
              <w:t>procesie ustalania listy obszarów, na których mogą być realizowane przedsięwzięcia.</w:t>
            </w:r>
          </w:p>
        </w:tc>
      </w:tr>
      <w:tr w:rsidR="00C83532" w:rsidRPr="004F7017" w14:paraId="10927C6A" w14:textId="77777777" w:rsidTr="00440BCC">
        <w:tc>
          <w:tcPr>
            <w:tcW w:w="804" w:type="dxa"/>
            <w:vAlign w:val="center"/>
          </w:tcPr>
          <w:p w14:paraId="46DDE8AA" w14:textId="77777777" w:rsidR="00C83532"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lastRenderedPageBreak/>
              <w:t>3.</w:t>
            </w:r>
          </w:p>
        </w:tc>
        <w:tc>
          <w:tcPr>
            <w:tcW w:w="6704" w:type="dxa"/>
          </w:tcPr>
          <w:p w14:paraId="4A33A44A" w14:textId="77777777" w:rsidR="00C83532" w:rsidRPr="002557C7" w:rsidRDefault="00C83532" w:rsidP="00C83532">
            <w:pPr>
              <w:rPr>
                <w:rFonts w:asciiTheme="minorHAnsi" w:hAnsiTheme="minorHAnsi" w:cstheme="minorHAnsi"/>
                <w:sz w:val="22"/>
                <w:szCs w:val="22"/>
              </w:rPr>
            </w:pPr>
            <w:r w:rsidRPr="002557C7">
              <w:rPr>
                <w:rFonts w:asciiTheme="minorHAnsi" w:hAnsiTheme="minorHAnsi" w:cstheme="minorHAnsi"/>
                <w:sz w:val="22"/>
                <w:szCs w:val="22"/>
              </w:rPr>
              <w:t>§ 4 ust. 4</w:t>
            </w:r>
            <w:r>
              <w:rPr>
                <w:rFonts w:asciiTheme="minorHAnsi" w:hAnsiTheme="minorHAnsi" w:cstheme="minorHAnsi"/>
                <w:sz w:val="22"/>
                <w:szCs w:val="22"/>
              </w:rPr>
              <w:t xml:space="preserve"> - J</w:t>
            </w:r>
            <w:r w:rsidRPr="002557C7">
              <w:rPr>
                <w:rFonts w:asciiTheme="minorHAnsi" w:hAnsiTheme="minorHAnsi" w:cstheme="minorHAnsi"/>
                <w:sz w:val="22"/>
                <w:szCs w:val="22"/>
              </w:rPr>
              <w:t>ednocześnie rozporządzenie Komisji (UE) nr 651/2014 stanowi o pewnym „uwiarygodnieniu” nieplanowania rozwoju przedmiotowej sieci, co podlega weryfikacji m.in. w drodze otwartych konsultacji publicznych, przeprowadzanych przez właściwy organ publiczny (zgodnie z art. 52 ust. 4 – publikacja głównych cech planowanego środka oraz wykazu geograficznych obszarów docelowych na odpowiedniej stronie internetowej).</w:t>
            </w:r>
          </w:p>
          <w:p w14:paraId="3A327F41" w14:textId="77777777" w:rsidR="00C83532" w:rsidRPr="000A353E" w:rsidRDefault="00C83532" w:rsidP="00C83532">
            <w:pPr>
              <w:rPr>
                <w:rFonts w:asciiTheme="minorHAnsi" w:hAnsiTheme="minorHAnsi" w:cstheme="minorHAnsi"/>
                <w:sz w:val="22"/>
                <w:szCs w:val="22"/>
              </w:rPr>
            </w:pPr>
            <w:r w:rsidRPr="002557C7">
              <w:rPr>
                <w:rFonts w:asciiTheme="minorHAnsi" w:hAnsiTheme="minorHAnsi" w:cstheme="minorHAnsi"/>
                <w:sz w:val="22"/>
                <w:szCs w:val="22"/>
              </w:rPr>
              <w:t>Z uwagi na fakt, iż w projektowanym akcie należy uszczegółowić warunki przyznawania pomocy, rozważyć trzeba odpowiednie uzupełnienie przepisów w tej mierze (czy też odes</w:t>
            </w:r>
            <w:r>
              <w:rPr>
                <w:rFonts w:asciiTheme="minorHAnsi" w:hAnsiTheme="minorHAnsi" w:cstheme="minorHAnsi"/>
                <w:sz w:val="22"/>
                <w:szCs w:val="22"/>
              </w:rPr>
              <w:t>łanie do prawodawstwa unijnego).</w:t>
            </w:r>
          </w:p>
        </w:tc>
        <w:tc>
          <w:tcPr>
            <w:tcW w:w="7513" w:type="dxa"/>
          </w:tcPr>
          <w:p w14:paraId="3E48A852" w14:textId="04A945E2" w:rsidR="00C83532" w:rsidRPr="002557C7" w:rsidRDefault="00C83532" w:rsidP="00C83532">
            <w:pPr>
              <w:rPr>
                <w:rFonts w:asciiTheme="minorHAnsi" w:hAnsiTheme="minorHAnsi" w:cstheme="minorHAnsi"/>
                <w:sz w:val="22"/>
                <w:szCs w:val="22"/>
              </w:rPr>
            </w:pPr>
            <w:r>
              <w:rPr>
                <w:rFonts w:asciiTheme="minorHAnsi" w:hAnsiTheme="minorHAnsi" w:cstheme="minorHAnsi"/>
                <w:sz w:val="22"/>
                <w:szCs w:val="22"/>
              </w:rPr>
              <w:t>Obowiązek przeprowadzenia konsultacji społecznych wynika bezpośrednio z GBER i w związku z uwagami RCL</w:t>
            </w:r>
            <w:r w:rsidR="00533D23">
              <w:rPr>
                <w:rFonts w:asciiTheme="minorHAnsi" w:hAnsiTheme="minorHAnsi" w:cstheme="minorHAnsi"/>
                <w:sz w:val="22"/>
                <w:szCs w:val="22"/>
              </w:rPr>
              <w:t xml:space="preserve"> w podobnym zakresie</w:t>
            </w:r>
            <w:r>
              <w:rPr>
                <w:rFonts w:asciiTheme="minorHAnsi" w:hAnsiTheme="minorHAnsi" w:cstheme="minorHAnsi"/>
                <w:sz w:val="22"/>
                <w:szCs w:val="22"/>
              </w:rPr>
              <w:t xml:space="preserve">, nie powtarzamy w treści </w:t>
            </w:r>
            <w:r w:rsidR="00533D23">
              <w:rPr>
                <w:rFonts w:asciiTheme="minorHAnsi" w:hAnsiTheme="minorHAnsi" w:cstheme="minorHAnsi"/>
                <w:sz w:val="22"/>
                <w:szCs w:val="22"/>
              </w:rPr>
              <w:t xml:space="preserve">niniejszego </w:t>
            </w:r>
            <w:r>
              <w:rPr>
                <w:rFonts w:asciiTheme="minorHAnsi" w:hAnsiTheme="minorHAnsi" w:cstheme="minorHAnsi"/>
                <w:sz w:val="22"/>
                <w:szCs w:val="22"/>
              </w:rPr>
              <w:t>projektu treści rozporządzenia GBER.</w:t>
            </w:r>
          </w:p>
          <w:p w14:paraId="046E251D" w14:textId="77777777" w:rsidR="00C83532" w:rsidRDefault="00C83532" w:rsidP="002159C4">
            <w:pPr>
              <w:autoSpaceDE w:val="0"/>
              <w:autoSpaceDN w:val="0"/>
              <w:adjustRightInd w:val="0"/>
              <w:spacing w:before="60" w:after="60"/>
              <w:jc w:val="both"/>
              <w:rPr>
                <w:rFonts w:asciiTheme="minorHAnsi" w:hAnsiTheme="minorHAnsi" w:cstheme="minorHAnsi"/>
                <w:sz w:val="22"/>
                <w:szCs w:val="22"/>
              </w:rPr>
            </w:pPr>
          </w:p>
        </w:tc>
      </w:tr>
      <w:tr w:rsidR="00C83532" w:rsidRPr="004F7017" w14:paraId="53476352" w14:textId="77777777" w:rsidTr="00440BCC">
        <w:tc>
          <w:tcPr>
            <w:tcW w:w="804" w:type="dxa"/>
            <w:vAlign w:val="center"/>
          </w:tcPr>
          <w:p w14:paraId="5EBBAECB" w14:textId="77777777" w:rsidR="00C83532"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4.</w:t>
            </w:r>
          </w:p>
        </w:tc>
        <w:tc>
          <w:tcPr>
            <w:tcW w:w="6704" w:type="dxa"/>
          </w:tcPr>
          <w:p w14:paraId="612D9C1A" w14:textId="77777777" w:rsidR="00C83532" w:rsidRPr="00B72712" w:rsidRDefault="00C83532" w:rsidP="00C83532">
            <w:pPr>
              <w:rPr>
                <w:rFonts w:asciiTheme="minorHAnsi" w:hAnsiTheme="minorHAnsi" w:cstheme="minorHAnsi"/>
                <w:sz w:val="22"/>
                <w:szCs w:val="22"/>
              </w:rPr>
            </w:pPr>
            <w:r w:rsidRPr="00FE3AAD">
              <w:rPr>
                <w:rFonts w:asciiTheme="minorHAnsi" w:hAnsiTheme="minorHAnsi" w:cstheme="minorHAnsi"/>
                <w:sz w:val="22"/>
                <w:szCs w:val="22"/>
              </w:rPr>
              <w:t>§ 5 ust. 1</w:t>
            </w:r>
            <w:r>
              <w:rPr>
                <w:rFonts w:asciiTheme="minorHAnsi" w:hAnsiTheme="minorHAnsi" w:cstheme="minorHAnsi"/>
                <w:sz w:val="22"/>
                <w:szCs w:val="22"/>
              </w:rPr>
              <w:t xml:space="preserve"> - </w:t>
            </w:r>
            <w:r w:rsidRPr="00B72712">
              <w:rPr>
                <w:rFonts w:asciiTheme="minorHAnsi" w:hAnsiTheme="minorHAnsi" w:cstheme="minorHAnsi"/>
                <w:sz w:val="22"/>
                <w:szCs w:val="22"/>
              </w:rPr>
              <w:t>Ponadto wskazać należy, że art. 52 ust. 6 lit. a rozporządzenia Komisji (UE)</w:t>
            </w:r>
          </w:p>
          <w:p w14:paraId="4D11D832" w14:textId="017FCD07" w:rsidR="00C83532" w:rsidRPr="00B72712" w:rsidRDefault="00C83532" w:rsidP="00C83532">
            <w:pPr>
              <w:rPr>
                <w:rFonts w:asciiTheme="minorHAnsi" w:hAnsiTheme="minorHAnsi" w:cstheme="minorHAnsi"/>
                <w:sz w:val="22"/>
                <w:szCs w:val="22"/>
              </w:rPr>
            </w:pPr>
            <w:r w:rsidRPr="00B72712">
              <w:rPr>
                <w:rFonts w:asciiTheme="minorHAnsi" w:hAnsiTheme="minorHAnsi" w:cstheme="minorHAnsi"/>
                <w:sz w:val="22"/>
                <w:szCs w:val="22"/>
              </w:rPr>
              <w:t>nr 651/2014 stanowi także o udzielaniu pomocy zgodnie z założeniami przepisów</w:t>
            </w:r>
            <w:r w:rsidR="00533D23">
              <w:rPr>
                <w:rFonts w:asciiTheme="minorHAnsi" w:hAnsiTheme="minorHAnsi" w:cstheme="minorHAnsi"/>
                <w:sz w:val="22"/>
                <w:szCs w:val="22"/>
              </w:rPr>
              <w:t xml:space="preserve"> </w:t>
            </w:r>
            <w:r w:rsidRPr="00B72712">
              <w:rPr>
                <w:rFonts w:asciiTheme="minorHAnsi" w:hAnsiTheme="minorHAnsi" w:cstheme="minorHAnsi"/>
                <w:sz w:val="22"/>
                <w:szCs w:val="22"/>
              </w:rPr>
              <w:t>dotyczących zamówień publicznych, na podstawie oferty najkorzystniejszej ekonomicznie.</w:t>
            </w:r>
          </w:p>
          <w:p w14:paraId="4D9CAC4D" w14:textId="7265DBB2" w:rsidR="00C83532" w:rsidRPr="00B72712" w:rsidRDefault="00C83532" w:rsidP="00C83532">
            <w:pPr>
              <w:rPr>
                <w:rFonts w:asciiTheme="minorHAnsi" w:hAnsiTheme="minorHAnsi" w:cstheme="minorHAnsi"/>
                <w:sz w:val="22"/>
                <w:szCs w:val="22"/>
              </w:rPr>
            </w:pPr>
            <w:r w:rsidRPr="00B72712">
              <w:rPr>
                <w:rFonts w:asciiTheme="minorHAnsi" w:hAnsiTheme="minorHAnsi" w:cstheme="minorHAnsi"/>
                <w:sz w:val="22"/>
                <w:szCs w:val="22"/>
              </w:rPr>
              <w:t>Dodatkowo, stosownie do Krajowego Planu Odbudowy i Zwiększania Odporności, projekty</w:t>
            </w:r>
            <w:r w:rsidR="00533D23">
              <w:rPr>
                <w:rFonts w:asciiTheme="minorHAnsi" w:hAnsiTheme="minorHAnsi" w:cstheme="minorHAnsi"/>
                <w:sz w:val="22"/>
                <w:szCs w:val="22"/>
              </w:rPr>
              <w:t xml:space="preserve"> </w:t>
            </w:r>
            <w:r w:rsidRPr="00B72712">
              <w:rPr>
                <w:rFonts w:asciiTheme="minorHAnsi" w:hAnsiTheme="minorHAnsi" w:cstheme="minorHAnsi"/>
                <w:sz w:val="22"/>
                <w:szCs w:val="22"/>
              </w:rPr>
              <w:t>mają być wybierane do dofinansowania w trybie konkursowym.</w:t>
            </w:r>
          </w:p>
          <w:p w14:paraId="0E8AF445" w14:textId="77777777" w:rsidR="00C83532" w:rsidRPr="00B72712" w:rsidRDefault="00C83532" w:rsidP="00C83532">
            <w:pPr>
              <w:rPr>
                <w:rFonts w:asciiTheme="minorHAnsi" w:hAnsiTheme="minorHAnsi" w:cstheme="minorHAnsi"/>
                <w:sz w:val="22"/>
                <w:szCs w:val="22"/>
              </w:rPr>
            </w:pPr>
            <w:r w:rsidRPr="00B72712">
              <w:rPr>
                <w:rFonts w:asciiTheme="minorHAnsi" w:hAnsiTheme="minorHAnsi" w:cstheme="minorHAnsi"/>
                <w:sz w:val="22"/>
                <w:szCs w:val="22"/>
              </w:rPr>
              <w:t>W tym kontekście zauważenia wymaga, że zarówno rozporządzenie Komisji (UE)</w:t>
            </w:r>
            <w:r>
              <w:rPr>
                <w:rFonts w:asciiTheme="minorHAnsi" w:hAnsiTheme="minorHAnsi" w:cstheme="minorHAnsi"/>
                <w:sz w:val="22"/>
                <w:szCs w:val="22"/>
              </w:rPr>
              <w:t xml:space="preserve"> </w:t>
            </w:r>
            <w:r w:rsidRPr="00B72712">
              <w:rPr>
                <w:rFonts w:asciiTheme="minorHAnsi" w:hAnsiTheme="minorHAnsi" w:cstheme="minorHAnsi"/>
                <w:sz w:val="22"/>
                <w:szCs w:val="22"/>
              </w:rPr>
              <w:t>nr 651/2014 jaki i ustawa będąca podstawą do wydania niniejszego aktu zawierają</w:t>
            </w:r>
            <w:r>
              <w:rPr>
                <w:rFonts w:asciiTheme="minorHAnsi" w:hAnsiTheme="minorHAnsi" w:cstheme="minorHAnsi"/>
                <w:sz w:val="22"/>
                <w:szCs w:val="22"/>
              </w:rPr>
              <w:t xml:space="preserve"> </w:t>
            </w:r>
            <w:r w:rsidRPr="00B72712">
              <w:rPr>
                <w:rFonts w:asciiTheme="minorHAnsi" w:hAnsiTheme="minorHAnsi" w:cstheme="minorHAnsi"/>
                <w:sz w:val="22"/>
                <w:szCs w:val="22"/>
              </w:rPr>
              <w:t>postanowienia dotyczące warunków oraz trybu oddzielania pomocy. Niemniej ustawodawca</w:t>
            </w:r>
            <w:r>
              <w:rPr>
                <w:rFonts w:asciiTheme="minorHAnsi" w:hAnsiTheme="minorHAnsi" w:cstheme="minorHAnsi"/>
                <w:sz w:val="22"/>
                <w:szCs w:val="22"/>
              </w:rPr>
              <w:t xml:space="preserve"> </w:t>
            </w:r>
            <w:r w:rsidRPr="00B72712">
              <w:rPr>
                <w:rFonts w:asciiTheme="minorHAnsi" w:hAnsiTheme="minorHAnsi" w:cstheme="minorHAnsi"/>
                <w:sz w:val="22"/>
                <w:szCs w:val="22"/>
              </w:rPr>
              <w:t>zdecydował jednak o potrzebie przekazania do uregulowania tych kwestii szczegółowo</w:t>
            </w:r>
            <w:r>
              <w:rPr>
                <w:rFonts w:asciiTheme="minorHAnsi" w:hAnsiTheme="minorHAnsi" w:cstheme="minorHAnsi"/>
                <w:sz w:val="22"/>
                <w:szCs w:val="22"/>
              </w:rPr>
              <w:t xml:space="preserve"> </w:t>
            </w:r>
            <w:r w:rsidRPr="00B72712">
              <w:rPr>
                <w:rFonts w:asciiTheme="minorHAnsi" w:hAnsiTheme="minorHAnsi" w:cstheme="minorHAnsi"/>
                <w:sz w:val="22"/>
                <w:szCs w:val="22"/>
              </w:rPr>
              <w:t xml:space="preserve">w akcie rangi </w:t>
            </w:r>
            <w:proofErr w:type="spellStart"/>
            <w:r w:rsidRPr="00B72712">
              <w:rPr>
                <w:rFonts w:asciiTheme="minorHAnsi" w:hAnsiTheme="minorHAnsi" w:cstheme="minorHAnsi"/>
                <w:sz w:val="22"/>
                <w:szCs w:val="22"/>
              </w:rPr>
              <w:t>podustawowej</w:t>
            </w:r>
            <w:proofErr w:type="spellEnd"/>
            <w:r w:rsidRPr="00B72712">
              <w:rPr>
                <w:rFonts w:asciiTheme="minorHAnsi" w:hAnsiTheme="minorHAnsi" w:cstheme="minorHAnsi"/>
                <w:sz w:val="22"/>
                <w:szCs w:val="22"/>
              </w:rPr>
              <w:t>. Wobec tego organ wydający przedmiotowe rozporządzenie</w:t>
            </w:r>
            <w:r>
              <w:rPr>
                <w:rFonts w:asciiTheme="minorHAnsi" w:hAnsiTheme="minorHAnsi" w:cstheme="minorHAnsi"/>
                <w:sz w:val="22"/>
                <w:szCs w:val="22"/>
              </w:rPr>
              <w:t xml:space="preserve"> </w:t>
            </w:r>
            <w:r w:rsidRPr="00B72712">
              <w:rPr>
                <w:rFonts w:asciiTheme="minorHAnsi" w:hAnsiTheme="minorHAnsi" w:cstheme="minorHAnsi"/>
                <w:sz w:val="22"/>
                <w:szCs w:val="22"/>
              </w:rPr>
              <w:t xml:space="preserve">powinien kierować się przy wydawaniu aktu wykonawczego </w:t>
            </w:r>
            <w:r>
              <w:rPr>
                <w:rFonts w:asciiTheme="minorHAnsi" w:hAnsiTheme="minorHAnsi" w:cstheme="minorHAnsi"/>
                <w:sz w:val="22"/>
                <w:szCs w:val="22"/>
              </w:rPr>
              <w:t xml:space="preserve">potrzebą dookreślenia ww. </w:t>
            </w:r>
            <w:r w:rsidRPr="00B72712">
              <w:rPr>
                <w:rFonts w:asciiTheme="minorHAnsi" w:hAnsiTheme="minorHAnsi" w:cstheme="minorHAnsi"/>
                <w:sz w:val="22"/>
                <w:szCs w:val="22"/>
              </w:rPr>
              <w:t>zakresu spraw zgodnie z warunkami wynikającymi z programów, w związku z którymi ta</w:t>
            </w:r>
          </w:p>
          <w:p w14:paraId="03C9BCEF" w14:textId="77777777" w:rsidR="00C83532" w:rsidRPr="00B72712" w:rsidRDefault="00C83532" w:rsidP="00C83532">
            <w:pPr>
              <w:rPr>
                <w:rFonts w:asciiTheme="minorHAnsi" w:hAnsiTheme="minorHAnsi" w:cstheme="minorHAnsi"/>
                <w:sz w:val="22"/>
                <w:szCs w:val="22"/>
              </w:rPr>
            </w:pPr>
            <w:r w:rsidRPr="00B72712">
              <w:rPr>
                <w:rFonts w:asciiTheme="minorHAnsi" w:hAnsiTheme="minorHAnsi" w:cstheme="minorHAnsi"/>
                <w:sz w:val="22"/>
                <w:szCs w:val="22"/>
              </w:rPr>
              <w:t>pomoc jest udzielana.</w:t>
            </w:r>
          </w:p>
          <w:p w14:paraId="6D61C356" w14:textId="77777777" w:rsidR="00C83532" w:rsidRPr="002557C7" w:rsidRDefault="00C83532" w:rsidP="00C83532">
            <w:pPr>
              <w:rPr>
                <w:rFonts w:asciiTheme="minorHAnsi" w:hAnsiTheme="minorHAnsi" w:cstheme="minorHAnsi"/>
                <w:sz w:val="22"/>
                <w:szCs w:val="22"/>
              </w:rPr>
            </w:pPr>
            <w:r w:rsidRPr="00B72712">
              <w:rPr>
                <w:rFonts w:asciiTheme="minorHAnsi" w:hAnsiTheme="minorHAnsi" w:cstheme="minorHAnsi"/>
                <w:sz w:val="22"/>
                <w:szCs w:val="22"/>
              </w:rPr>
              <w:lastRenderedPageBreak/>
              <w:t>W przedmiotowym projekcie nie doprecyzowuje się jednak, jaki charakter ma mieć</w:t>
            </w:r>
            <w:r>
              <w:rPr>
                <w:rFonts w:asciiTheme="minorHAnsi" w:hAnsiTheme="minorHAnsi" w:cstheme="minorHAnsi"/>
                <w:sz w:val="22"/>
                <w:szCs w:val="22"/>
              </w:rPr>
              <w:t xml:space="preserve"> </w:t>
            </w:r>
            <w:r w:rsidRPr="00B72712">
              <w:rPr>
                <w:rFonts w:asciiTheme="minorHAnsi" w:hAnsiTheme="minorHAnsi" w:cstheme="minorHAnsi"/>
                <w:sz w:val="22"/>
                <w:szCs w:val="22"/>
              </w:rPr>
              <w:t>otwarta procedura wyboru, zasadnym wydaje się więc zamieszczenie takiej informacji</w:t>
            </w:r>
            <w:r>
              <w:rPr>
                <w:rFonts w:asciiTheme="minorHAnsi" w:hAnsiTheme="minorHAnsi" w:cstheme="minorHAnsi"/>
                <w:sz w:val="22"/>
                <w:szCs w:val="22"/>
              </w:rPr>
              <w:t xml:space="preserve"> </w:t>
            </w:r>
            <w:r w:rsidRPr="00B72712">
              <w:rPr>
                <w:rFonts w:asciiTheme="minorHAnsi" w:hAnsiTheme="minorHAnsi" w:cstheme="minorHAnsi"/>
                <w:sz w:val="22"/>
                <w:szCs w:val="22"/>
              </w:rPr>
              <w:t>w opiniowanym akcie. Z drugiej strony, przewiduje się procedurę składania wniosków, nie</w:t>
            </w:r>
            <w:r>
              <w:rPr>
                <w:rFonts w:asciiTheme="minorHAnsi" w:hAnsiTheme="minorHAnsi" w:cstheme="minorHAnsi"/>
                <w:sz w:val="22"/>
                <w:szCs w:val="22"/>
              </w:rPr>
              <w:t xml:space="preserve"> </w:t>
            </w:r>
            <w:r w:rsidRPr="00B72712">
              <w:rPr>
                <w:rFonts w:asciiTheme="minorHAnsi" w:hAnsiTheme="minorHAnsi" w:cstheme="minorHAnsi"/>
                <w:sz w:val="22"/>
                <w:szCs w:val="22"/>
              </w:rPr>
              <w:t>dookreślając kwestii związanych ze składaniem wniosku o udzielenie wsparcia, o którym</w:t>
            </w:r>
            <w:r>
              <w:rPr>
                <w:rFonts w:asciiTheme="minorHAnsi" w:hAnsiTheme="minorHAnsi" w:cstheme="minorHAnsi"/>
                <w:sz w:val="22"/>
                <w:szCs w:val="22"/>
              </w:rPr>
              <w:t xml:space="preserve"> </w:t>
            </w:r>
            <w:r w:rsidRPr="00B72712">
              <w:rPr>
                <w:rFonts w:asciiTheme="minorHAnsi" w:hAnsiTheme="minorHAnsi" w:cstheme="minorHAnsi"/>
                <w:sz w:val="22"/>
                <w:szCs w:val="22"/>
              </w:rPr>
              <w:t>stanowi § 5 ust. 2 (np. terminu, sposobu składania, zawartości wniosku). O ile bowiem ustawa</w:t>
            </w:r>
            <w:r>
              <w:rPr>
                <w:rFonts w:asciiTheme="minorHAnsi" w:hAnsiTheme="minorHAnsi" w:cstheme="minorHAnsi"/>
                <w:sz w:val="22"/>
                <w:szCs w:val="22"/>
              </w:rPr>
              <w:t xml:space="preserve"> </w:t>
            </w:r>
            <w:r w:rsidRPr="00B72712">
              <w:rPr>
                <w:rFonts w:asciiTheme="minorHAnsi" w:hAnsiTheme="minorHAnsi" w:cstheme="minorHAnsi"/>
                <w:sz w:val="22"/>
                <w:szCs w:val="22"/>
              </w:rPr>
              <w:t>o zasadach prowadzenia polityki rozwoju określa szczegółowo, w art. 14lze i nast., procedurę</w:t>
            </w:r>
            <w:r>
              <w:rPr>
                <w:rFonts w:asciiTheme="minorHAnsi" w:hAnsiTheme="minorHAnsi" w:cstheme="minorHAnsi"/>
                <w:sz w:val="22"/>
                <w:szCs w:val="22"/>
              </w:rPr>
              <w:t xml:space="preserve"> </w:t>
            </w:r>
            <w:r w:rsidRPr="00B72712">
              <w:rPr>
                <w:rFonts w:asciiTheme="minorHAnsi" w:hAnsiTheme="minorHAnsi" w:cstheme="minorHAnsi"/>
                <w:sz w:val="22"/>
                <w:szCs w:val="22"/>
              </w:rPr>
              <w:t>dotyczącą składania wniosku o ponowną ocenę przedsięwzięcia, tak nie reguluje ona materii</w:t>
            </w:r>
            <w:r>
              <w:rPr>
                <w:rFonts w:asciiTheme="minorHAnsi" w:hAnsiTheme="minorHAnsi" w:cstheme="minorHAnsi"/>
                <w:sz w:val="22"/>
                <w:szCs w:val="22"/>
              </w:rPr>
              <w:t xml:space="preserve"> </w:t>
            </w:r>
            <w:r w:rsidRPr="00B72712">
              <w:rPr>
                <w:rFonts w:asciiTheme="minorHAnsi" w:hAnsiTheme="minorHAnsi" w:cstheme="minorHAnsi"/>
                <w:sz w:val="22"/>
                <w:szCs w:val="22"/>
              </w:rPr>
              <w:t>dotyczącej pierwszego wniosku o taką ocenę.</w:t>
            </w:r>
          </w:p>
        </w:tc>
        <w:tc>
          <w:tcPr>
            <w:tcW w:w="7513" w:type="dxa"/>
          </w:tcPr>
          <w:p w14:paraId="5A8FA204" w14:textId="48AA383B" w:rsidR="00C83532" w:rsidRDefault="00C83532" w:rsidP="00C83532">
            <w:pPr>
              <w:rPr>
                <w:rFonts w:asciiTheme="minorHAnsi" w:hAnsiTheme="minorHAnsi" w:cstheme="minorHAnsi"/>
                <w:sz w:val="22"/>
                <w:szCs w:val="22"/>
              </w:rPr>
            </w:pPr>
            <w:r>
              <w:rPr>
                <w:rFonts w:asciiTheme="minorHAnsi" w:hAnsiTheme="minorHAnsi" w:cstheme="minorHAnsi"/>
                <w:sz w:val="22"/>
                <w:szCs w:val="22"/>
              </w:rPr>
              <w:lastRenderedPageBreak/>
              <w:t xml:space="preserve">Zgodnie z delegacją ustawową w rozporządzeniu określone są </w:t>
            </w:r>
            <w:r w:rsidRPr="00FE3AAD">
              <w:rPr>
                <w:rFonts w:asciiTheme="minorHAnsi" w:hAnsiTheme="minorHAnsi" w:cstheme="minorHAnsi"/>
                <w:sz w:val="22"/>
                <w:szCs w:val="22"/>
              </w:rPr>
              <w:t>szczegółowe przeznaczenie, warunki i tryb udzielania pomocy</w:t>
            </w:r>
            <w:r>
              <w:rPr>
                <w:rFonts w:asciiTheme="minorHAnsi" w:hAnsiTheme="minorHAnsi" w:cstheme="minorHAnsi"/>
                <w:sz w:val="22"/>
                <w:szCs w:val="22"/>
              </w:rPr>
              <w:t>. Tryb udzielania pomocy to tryb procedury wyboru, rozumiany w pokrewnym (względem przepisów o Krajowym Planie Odbudowy) prawodawstwie krajowym jako tryb konkursowy. W projektowanym rozporządzeniu wskazane jest, kto i pod jakimi warunkami może w konkursie wziąć udział, a także jaka instytucja go organizuje. Również już z</w:t>
            </w:r>
            <w:r w:rsidRPr="00BE0823">
              <w:rPr>
                <w:rFonts w:asciiTheme="minorHAnsi" w:hAnsiTheme="minorHAnsi" w:cstheme="minorHAnsi"/>
                <w:sz w:val="22"/>
                <w:szCs w:val="22"/>
              </w:rPr>
              <w:t xml:space="preserve"> pierwotnego brzmienia projektu wynika, że wsparcie (pomoc) udziela się na wniosek</w:t>
            </w:r>
            <w:r>
              <w:rPr>
                <w:rFonts w:asciiTheme="minorHAnsi" w:hAnsiTheme="minorHAnsi" w:cstheme="minorHAnsi"/>
              </w:rPr>
              <w:t>, a m</w:t>
            </w:r>
            <w:r w:rsidRPr="00BE0823">
              <w:rPr>
                <w:rFonts w:asciiTheme="minorHAnsi" w:hAnsiTheme="minorHAnsi" w:cstheme="minorHAnsi"/>
                <w:sz w:val="22"/>
                <w:szCs w:val="22"/>
              </w:rPr>
              <w:t>inimalne wymagania dotyczące treści wnio</w:t>
            </w:r>
            <w:r>
              <w:rPr>
                <w:rFonts w:asciiTheme="minorHAnsi" w:hAnsiTheme="minorHAnsi" w:cstheme="minorHAnsi"/>
                <w:sz w:val="22"/>
                <w:szCs w:val="22"/>
              </w:rPr>
              <w:t>sku są pośrednio definiowane w projektowanym</w:t>
            </w:r>
            <w:r w:rsidRPr="00BE0823">
              <w:rPr>
                <w:rFonts w:asciiTheme="minorHAnsi" w:hAnsiTheme="minorHAnsi" w:cstheme="minorHAnsi"/>
                <w:sz w:val="22"/>
                <w:szCs w:val="22"/>
              </w:rPr>
              <w:t xml:space="preserve"> § 4 ust. 2</w:t>
            </w:r>
            <w:r>
              <w:rPr>
                <w:rFonts w:asciiTheme="minorHAnsi" w:hAnsiTheme="minorHAnsi" w:cstheme="minorHAnsi"/>
                <w:sz w:val="22"/>
                <w:szCs w:val="22"/>
              </w:rPr>
              <w:t xml:space="preserve"> (w nowym brzmieniu)</w:t>
            </w:r>
            <w:r w:rsidRPr="00BE0823">
              <w:rPr>
                <w:rFonts w:asciiTheme="minorHAnsi" w:hAnsiTheme="minorHAnsi" w:cstheme="minorHAnsi"/>
                <w:sz w:val="22"/>
                <w:szCs w:val="22"/>
              </w:rPr>
              <w:t>.</w:t>
            </w:r>
            <w:r>
              <w:rPr>
                <w:rFonts w:asciiTheme="minorHAnsi" w:hAnsiTheme="minorHAnsi" w:cstheme="minorHAnsi"/>
                <w:sz w:val="22"/>
                <w:szCs w:val="22"/>
              </w:rPr>
              <w:t xml:space="preserve"> Natomiast określanie w projektowanym rozporządzeniu np. kryteriów wyboru przedsięwzięć czy też terminów nie jest zasadne, ponieważ te elementy mogą się zmieniać w poszczególnych konkursach ogłaszanych na podstawie projektowanego rozporządzenia</w:t>
            </w:r>
            <w:r w:rsidR="00533D23">
              <w:rPr>
                <w:rFonts w:asciiTheme="minorHAnsi" w:hAnsiTheme="minorHAnsi" w:cstheme="minorHAnsi"/>
                <w:sz w:val="22"/>
                <w:szCs w:val="22"/>
              </w:rPr>
              <w:t>.</w:t>
            </w:r>
          </w:p>
        </w:tc>
      </w:tr>
      <w:tr w:rsidR="00DB0CD9" w:rsidRPr="004F7017" w14:paraId="413DCC49" w14:textId="77777777" w:rsidTr="00440BCC">
        <w:tc>
          <w:tcPr>
            <w:tcW w:w="804" w:type="dxa"/>
            <w:vAlign w:val="center"/>
          </w:tcPr>
          <w:p w14:paraId="74BA21E5" w14:textId="77777777" w:rsidR="00DB0CD9"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lastRenderedPageBreak/>
              <w:t>5.</w:t>
            </w:r>
          </w:p>
        </w:tc>
        <w:tc>
          <w:tcPr>
            <w:tcW w:w="6704" w:type="dxa"/>
          </w:tcPr>
          <w:p w14:paraId="23B3379E" w14:textId="77777777" w:rsidR="00DB0CD9" w:rsidRPr="00FE3AAD" w:rsidRDefault="00DB0CD9" w:rsidP="00C83532">
            <w:pPr>
              <w:rPr>
                <w:rFonts w:asciiTheme="minorHAnsi" w:hAnsiTheme="minorHAnsi" w:cstheme="minorHAnsi"/>
                <w:sz w:val="22"/>
                <w:szCs w:val="22"/>
              </w:rPr>
            </w:pPr>
            <w:r>
              <w:rPr>
                <w:rFonts w:asciiTheme="minorHAnsi" w:hAnsiTheme="minorHAnsi" w:cstheme="minorHAnsi"/>
                <w:sz w:val="22"/>
                <w:szCs w:val="22"/>
              </w:rPr>
              <w:t>J</w:t>
            </w:r>
            <w:r w:rsidRPr="00B72712">
              <w:rPr>
                <w:rFonts w:asciiTheme="minorHAnsi" w:hAnsiTheme="minorHAnsi" w:cstheme="minorHAnsi"/>
                <w:sz w:val="22"/>
                <w:szCs w:val="22"/>
              </w:rPr>
              <w:t>eżeli w § 5 ust. 2 pkt 4 przez realizację przedsięwzięcia rozumie się rozpoczęcie jego realizacji (definiowane w słowniku pojęć), przepis powinien wprost na to wskazywać. W przeciwnym razie należy wyjaśnić, jak ma być rozumiane zobowiązanie do realizacji przedsięwzięcia, stanowiące nierozerwa</w:t>
            </w:r>
            <w:r>
              <w:rPr>
                <w:rFonts w:asciiTheme="minorHAnsi" w:hAnsiTheme="minorHAnsi" w:cstheme="minorHAnsi"/>
                <w:sz w:val="22"/>
                <w:szCs w:val="22"/>
              </w:rPr>
              <w:t>lny warunek udzielenia wsparcia.</w:t>
            </w:r>
          </w:p>
        </w:tc>
        <w:tc>
          <w:tcPr>
            <w:tcW w:w="7513" w:type="dxa"/>
          </w:tcPr>
          <w:p w14:paraId="2D6971C1" w14:textId="77777777" w:rsidR="00DB0CD9" w:rsidRDefault="00DB0CD9" w:rsidP="00C83532">
            <w:pPr>
              <w:rPr>
                <w:rFonts w:asciiTheme="minorHAnsi" w:hAnsiTheme="minorHAnsi" w:cstheme="minorHAnsi"/>
                <w:sz w:val="22"/>
                <w:szCs w:val="22"/>
              </w:rPr>
            </w:pPr>
            <w:r>
              <w:rPr>
                <w:rFonts w:asciiTheme="minorHAnsi" w:hAnsiTheme="minorHAnsi" w:cstheme="minorHAnsi"/>
                <w:sz w:val="22"/>
                <w:szCs w:val="22"/>
              </w:rPr>
              <w:t xml:space="preserve">Definicja rozpoczęcia realizacji przedsięwzięcia i dalsze zobowiązania w tym zakresie są niezbędne aby ocenić (w procesie udzielania pomocy), czy w stosunku do przedsięwzięcia został zachowany efekt zachęty, wynikający z GBER. Natomiast definiowanie realizacji przedsięwzięcia jest zbędne, ponieważ jest to sformułowanie powszechnie zrozumiałe. Zobowiązanie do realizacji przedsięwzięcia oznacza, że podmiot zobowiązuje się zrobić to, na co otrzymuje pomoc.  </w:t>
            </w:r>
          </w:p>
        </w:tc>
      </w:tr>
      <w:tr w:rsidR="00DB0CD9" w:rsidRPr="004F7017" w14:paraId="2E42D410" w14:textId="77777777" w:rsidTr="00440BCC">
        <w:tc>
          <w:tcPr>
            <w:tcW w:w="804" w:type="dxa"/>
            <w:vAlign w:val="center"/>
          </w:tcPr>
          <w:p w14:paraId="7AD2D7D2" w14:textId="77777777" w:rsidR="00DB0CD9" w:rsidRDefault="00DB0CD9" w:rsidP="002159C4">
            <w:pPr>
              <w:autoSpaceDE w:val="0"/>
              <w:autoSpaceDN w:val="0"/>
              <w:adjustRightInd w:val="0"/>
              <w:spacing w:before="60" w:after="60" w:line="264" w:lineRule="auto"/>
              <w:contextualSpacing/>
              <w:jc w:val="center"/>
              <w:rPr>
                <w:rFonts w:eastAsiaTheme="minorHAnsi"/>
                <w:b/>
                <w:bCs w:val="0"/>
                <w:sz w:val="21"/>
                <w:szCs w:val="21"/>
                <w:lang w:eastAsia="en-US"/>
              </w:rPr>
            </w:pPr>
          </w:p>
        </w:tc>
        <w:tc>
          <w:tcPr>
            <w:tcW w:w="6704" w:type="dxa"/>
          </w:tcPr>
          <w:p w14:paraId="05AE8230" w14:textId="77777777" w:rsidR="00DB0CD9" w:rsidRDefault="00B53D7E" w:rsidP="00C83532">
            <w:pPr>
              <w:rPr>
                <w:rFonts w:asciiTheme="minorHAnsi" w:hAnsiTheme="minorHAnsi" w:cstheme="minorHAnsi"/>
                <w:sz w:val="22"/>
                <w:szCs w:val="22"/>
              </w:rPr>
            </w:pPr>
            <w:r w:rsidRPr="00C2188F">
              <w:rPr>
                <w:rFonts w:asciiTheme="minorHAnsi" w:hAnsiTheme="minorHAnsi" w:cstheme="minorHAnsi"/>
                <w:sz w:val="22"/>
                <w:szCs w:val="22"/>
              </w:rPr>
              <w:t xml:space="preserve">w § 5 ust. 2 pkt 8 projektu jako kolejny warunek, który obowiązany jest spełnić podmiot ubiegający się o wsparcie, wskazano „realizację przedsięwzięcia zgodnie z technicznymi kryteriami kwalifikacji określonymi w rozporządzeniu delegowanym Komisji (UE) 2021/2139…”. Z uwagi na fakt, iż przedmiotowe rozporządzenie unijne wymienia szereg kryteriów technicznych służących m.in. określeniu warunków, na jakich dana działalność gospodarcza kwalifikuje się jako wnosząca istotny wkład w łagodzenie zmian klimatu lub w adaptację do zmian klimatu, właściwe będzie doprecyzowanie przepisu przez wskazanie, do których kryteriów przedsięwzięcie polegające na rozwoju infrastruktury szerokopasmowej ma się odnosić. Biorąc natomiast pod uwagę wskazane zobowiązanie do ponownego użycia lub poddania recyklingowi co najmniej 70% odpadów z procesu inwestycyjnego oraz późniejszej eksploatacji sieci NGA, należy dokonać analizy poprawności takiego warunku pod kątem brzmienia regulacji Krajowego Planu Odbudowy i Zwiększania Odporności. Stanowi on bowiem w pkt C1.1.1. (Zapewnienie dostępu do bardzo szybkiego </w:t>
            </w:r>
            <w:proofErr w:type="spellStart"/>
            <w:r w:rsidRPr="00C2188F">
              <w:rPr>
                <w:rFonts w:asciiTheme="minorHAnsi" w:hAnsiTheme="minorHAnsi" w:cstheme="minorHAnsi"/>
                <w:sz w:val="22"/>
                <w:szCs w:val="22"/>
              </w:rPr>
              <w:t>internetu</w:t>
            </w:r>
            <w:proofErr w:type="spellEnd"/>
            <w:r w:rsidRPr="00C2188F">
              <w:rPr>
                <w:rFonts w:asciiTheme="minorHAnsi" w:hAnsiTheme="minorHAnsi" w:cstheme="minorHAnsi"/>
                <w:sz w:val="22"/>
                <w:szCs w:val="22"/>
              </w:rPr>
              <w:t xml:space="preserve"> na obszarach </w:t>
            </w:r>
            <w:r w:rsidRPr="00C2188F">
              <w:rPr>
                <w:rFonts w:asciiTheme="minorHAnsi" w:hAnsiTheme="minorHAnsi" w:cstheme="minorHAnsi"/>
                <w:sz w:val="22"/>
                <w:szCs w:val="22"/>
              </w:rPr>
              <w:lastRenderedPageBreak/>
              <w:t>białych plam), iż w przypadku wszystkich inwestycji infrastrukturalnych „co najmniej 70% odpadów z budowy i rozbiórki musi być ponownie wykorzystana lub poddana recyklingowi, w szczególności będą uwzględnione wymagania związane z charakterystyką energetyczną, gospodarką odpadami i oceną oddziaływania na środowiskowo”. Projektowany akt stanowi natomiast o bliżej nieokreślonym „procesie inwestycyjnym”, w ramach którego powstają odpady oraz o późniejszej eksplo</w:t>
            </w:r>
            <w:r>
              <w:rPr>
                <w:rFonts w:asciiTheme="minorHAnsi" w:hAnsiTheme="minorHAnsi" w:cstheme="minorHAnsi"/>
                <w:sz w:val="22"/>
                <w:szCs w:val="22"/>
              </w:rPr>
              <w:t>atacji generującej takie odpady.</w:t>
            </w:r>
          </w:p>
        </w:tc>
        <w:tc>
          <w:tcPr>
            <w:tcW w:w="7513" w:type="dxa"/>
          </w:tcPr>
          <w:p w14:paraId="12C51853" w14:textId="77777777" w:rsidR="00DB0CD9" w:rsidRDefault="00B53D7E" w:rsidP="00C83532">
            <w:pPr>
              <w:rPr>
                <w:rFonts w:asciiTheme="minorHAnsi" w:hAnsiTheme="minorHAnsi" w:cstheme="minorHAnsi"/>
                <w:sz w:val="22"/>
                <w:szCs w:val="22"/>
              </w:rPr>
            </w:pPr>
            <w:r>
              <w:rPr>
                <w:rFonts w:asciiTheme="minorHAnsi" w:hAnsiTheme="minorHAnsi" w:cstheme="minorHAnsi"/>
                <w:sz w:val="22"/>
                <w:szCs w:val="22"/>
              </w:rPr>
              <w:lastRenderedPageBreak/>
              <w:t>Projektowany przepis</w:t>
            </w:r>
            <w:r w:rsidRPr="00C2188F">
              <w:rPr>
                <w:rFonts w:asciiTheme="minorHAnsi" w:hAnsiTheme="minorHAnsi" w:cstheme="minorHAnsi"/>
                <w:sz w:val="22"/>
                <w:szCs w:val="22"/>
              </w:rPr>
              <w:t xml:space="preserve"> </w:t>
            </w:r>
            <w:r>
              <w:rPr>
                <w:rFonts w:asciiTheme="minorHAnsi" w:hAnsiTheme="minorHAnsi" w:cstheme="minorHAnsi"/>
                <w:sz w:val="22"/>
                <w:szCs w:val="22"/>
              </w:rPr>
              <w:t>koresponduje z treścią decyzji</w:t>
            </w:r>
            <w:r w:rsidRPr="00C2188F">
              <w:rPr>
                <w:rFonts w:asciiTheme="minorHAnsi" w:hAnsiTheme="minorHAnsi" w:cstheme="minorHAnsi"/>
                <w:sz w:val="22"/>
                <w:szCs w:val="22"/>
              </w:rPr>
              <w:t xml:space="preserve"> implementacyjnej Rady U</w:t>
            </w:r>
            <w:r>
              <w:rPr>
                <w:rFonts w:asciiTheme="minorHAnsi" w:hAnsiTheme="minorHAnsi" w:cstheme="minorHAnsi"/>
                <w:sz w:val="22"/>
                <w:szCs w:val="22"/>
              </w:rPr>
              <w:t xml:space="preserve">nii </w:t>
            </w:r>
            <w:r w:rsidRPr="00C2188F">
              <w:rPr>
                <w:rFonts w:asciiTheme="minorHAnsi" w:hAnsiTheme="minorHAnsi" w:cstheme="minorHAnsi"/>
                <w:sz w:val="22"/>
                <w:szCs w:val="22"/>
              </w:rPr>
              <w:t>E</w:t>
            </w:r>
            <w:r>
              <w:rPr>
                <w:rFonts w:asciiTheme="minorHAnsi" w:hAnsiTheme="minorHAnsi" w:cstheme="minorHAnsi"/>
                <w:sz w:val="22"/>
                <w:szCs w:val="22"/>
              </w:rPr>
              <w:t>uropejskiej w sprawie przyjęcia Krajowego Planu Odbudowy, która w zakresie projektowanego rozporządzenia, stanowiącego kamień milowy nr C1G wskazuje na zgodność przedsięwzięć z technicznymi kryteriami kwalifikacji. Natomiast dalsze d</w:t>
            </w:r>
            <w:r w:rsidRPr="00C2188F">
              <w:rPr>
                <w:rFonts w:asciiTheme="minorHAnsi" w:hAnsiTheme="minorHAnsi" w:cstheme="minorHAnsi"/>
                <w:sz w:val="22"/>
                <w:szCs w:val="22"/>
              </w:rPr>
              <w:t>oprecyzowanie tego zobowiązania nas</w:t>
            </w:r>
            <w:r>
              <w:rPr>
                <w:rFonts w:asciiTheme="minorHAnsi" w:hAnsiTheme="minorHAnsi" w:cstheme="minorHAnsi"/>
                <w:sz w:val="22"/>
                <w:szCs w:val="22"/>
              </w:rPr>
              <w:t>tąpi w dokumentacji konkursów ogłaszanych na podstawie projektowanego rozporządzenia.</w:t>
            </w:r>
          </w:p>
        </w:tc>
      </w:tr>
      <w:tr w:rsidR="00B53D7E" w:rsidRPr="004F7017" w14:paraId="0A726BE0" w14:textId="77777777" w:rsidTr="00440BCC">
        <w:tc>
          <w:tcPr>
            <w:tcW w:w="804" w:type="dxa"/>
            <w:vAlign w:val="center"/>
          </w:tcPr>
          <w:p w14:paraId="54CE2E39" w14:textId="77777777" w:rsidR="00B53D7E"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lastRenderedPageBreak/>
              <w:t xml:space="preserve">6. </w:t>
            </w:r>
          </w:p>
        </w:tc>
        <w:tc>
          <w:tcPr>
            <w:tcW w:w="6704" w:type="dxa"/>
          </w:tcPr>
          <w:p w14:paraId="04D01455" w14:textId="77777777" w:rsidR="00B53D7E" w:rsidRPr="00C2188F" w:rsidRDefault="00B53D7E" w:rsidP="00C83532">
            <w:pPr>
              <w:rPr>
                <w:rFonts w:asciiTheme="minorHAnsi" w:hAnsiTheme="minorHAnsi" w:cstheme="minorHAnsi"/>
                <w:sz w:val="22"/>
                <w:szCs w:val="22"/>
              </w:rPr>
            </w:pPr>
            <w:r>
              <w:rPr>
                <w:rFonts w:asciiTheme="minorHAnsi" w:hAnsiTheme="minorHAnsi" w:cstheme="minorHAnsi"/>
                <w:sz w:val="22"/>
                <w:szCs w:val="22"/>
              </w:rPr>
              <w:t>W</w:t>
            </w:r>
            <w:r w:rsidRPr="00A44916">
              <w:rPr>
                <w:rFonts w:asciiTheme="minorHAnsi" w:hAnsiTheme="minorHAnsi" w:cstheme="minorHAnsi"/>
                <w:sz w:val="22"/>
                <w:szCs w:val="22"/>
              </w:rPr>
              <w:t xml:space="preserve"> § 6 w ust. 1 zawarto regulację, zgodnie z którą wsparcie jest udzielane zgodnie z warunkami określonymi w przepisach rozdziału I </w:t>
            </w:r>
            <w:proofErr w:type="spellStart"/>
            <w:r w:rsidRPr="00A44916">
              <w:rPr>
                <w:rFonts w:asciiTheme="minorHAnsi" w:hAnsiTheme="minorHAnsi" w:cstheme="minorHAnsi"/>
                <w:sz w:val="22"/>
                <w:szCs w:val="22"/>
              </w:rPr>
              <w:t>i</w:t>
            </w:r>
            <w:proofErr w:type="spellEnd"/>
            <w:r w:rsidRPr="00A44916">
              <w:rPr>
                <w:rFonts w:asciiTheme="minorHAnsi" w:hAnsiTheme="minorHAnsi" w:cstheme="minorHAnsi"/>
                <w:sz w:val="22"/>
                <w:szCs w:val="22"/>
              </w:rPr>
              <w:t xml:space="preserve"> art. 52 rozporządzenia Komisji (UE) nr 651/2014. Treść ta, nie mająca charakteru normatywnego, jest niepoprawna. Rozporządzenie Komisji (UE) nr 651/2014 jest aktem stosowanym wprost i nie ma możliwości udzielania wsparcia</w:t>
            </w:r>
            <w:r>
              <w:rPr>
                <w:rFonts w:asciiTheme="minorHAnsi" w:hAnsiTheme="minorHAnsi" w:cstheme="minorHAnsi"/>
                <w:sz w:val="22"/>
                <w:szCs w:val="22"/>
              </w:rPr>
              <w:t xml:space="preserve"> niezgodnie z takimi przepisami.</w:t>
            </w:r>
          </w:p>
        </w:tc>
        <w:tc>
          <w:tcPr>
            <w:tcW w:w="7513" w:type="dxa"/>
          </w:tcPr>
          <w:p w14:paraId="3DA8A944" w14:textId="77777777" w:rsidR="00B53D7E" w:rsidRDefault="00B53D7E" w:rsidP="00C83532">
            <w:pPr>
              <w:rPr>
                <w:rFonts w:asciiTheme="minorHAnsi" w:hAnsiTheme="minorHAnsi" w:cstheme="minorHAnsi"/>
                <w:sz w:val="22"/>
                <w:szCs w:val="22"/>
              </w:rPr>
            </w:pPr>
            <w:r>
              <w:rPr>
                <w:rFonts w:asciiTheme="minorHAnsi" w:hAnsiTheme="minorHAnsi" w:cstheme="minorHAnsi"/>
                <w:sz w:val="22"/>
                <w:szCs w:val="22"/>
              </w:rPr>
              <w:t xml:space="preserve">GBER zawiera szereg rożnych przeznaczeń pomocy, dla których ustanawia warunki udzielania wsparcia, a także ogólne zasady udzielania pomocy (określone w rozdziale I), stosowane do wszystkich przeznaczeń. W związku z tym określenie w projektowanym rozporządzeniu, że pomoc jest udzielana w oparciu rozdział I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xml:space="preserve"> art. 52 GBER, jest konieczne i wpisuje się w duch uwag RCL, zgodnie z którymi nie należy powielać w rozporządzeniu zapisów wynikających z aktów wyższego rzędu. W końcu - podmiot udzielający pomocy, wnioskodawcy oraz odbiorcy ostateczni muszą wiedzieć, jaki rodzaj pomocy jest udzielany i w konsekwencji jakie są ogólne warunki jej otrzymania.</w:t>
            </w:r>
          </w:p>
        </w:tc>
      </w:tr>
      <w:tr w:rsidR="00A06753" w:rsidRPr="004F7017" w14:paraId="2CB91319" w14:textId="77777777" w:rsidTr="00440BCC">
        <w:tc>
          <w:tcPr>
            <w:tcW w:w="804" w:type="dxa"/>
            <w:vAlign w:val="center"/>
          </w:tcPr>
          <w:p w14:paraId="62A11F81" w14:textId="77777777" w:rsidR="00A06753"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p>
        </w:tc>
        <w:tc>
          <w:tcPr>
            <w:tcW w:w="6704" w:type="dxa"/>
          </w:tcPr>
          <w:p w14:paraId="5A427B5E" w14:textId="77777777" w:rsidR="00A06753" w:rsidRDefault="00A06753" w:rsidP="00C83532">
            <w:pPr>
              <w:rPr>
                <w:rFonts w:asciiTheme="minorHAnsi" w:hAnsiTheme="minorHAnsi" w:cstheme="minorHAnsi"/>
                <w:sz w:val="22"/>
                <w:szCs w:val="22"/>
              </w:rPr>
            </w:pPr>
          </w:p>
        </w:tc>
        <w:tc>
          <w:tcPr>
            <w:tcW w:w="7513" w:type="dxa"/>
          </w:tcPr>
          <w:p w14:paraId="4383A761" w14:textId="77777777" w:rsidR="00A06753" w:rsidRDefault="00A06753" w:rsidP="00C83532">
            <w:pPr>
              <w:rPr>
                <w:rFonts w:asciiTheme="minorHAnsi" w:hAnsiTheme="minorHAnsi" w:cstheme="minorHAnsi"/>
                <w:sz w:val="22"/>
                <w:szCs w:val="22"/>
              </w:rPr>
            </w:pPr>
          </w:p>
        </w:tc>
      </w:tr>
    </w:tbl>
    <w:tbl>
      <w:tblPr>
        <w:tblStyle w:val="Tabela-Siatka1"/>
        <w:tblW w:w="0" w:type="auto"/>
        <w:tblLook w:val="04A0" w:firstRow="1" w:lastRow="0" w:firstColumn="1" w:lastColumn="0" w:noHBand="0" w:noVBand="1"/>
      </w:tblPr>
      <w:tblGrid>
        <w:gridCol w:w="15021"/>
      </w:tblGrid>
      <w:tr w:rsidR="002C6959" w:rsidRPr="00EE6200" w14:paraId="53DF1540" w14:textId="77777777" w:rsidTr="00440BCC">
        <w:trPr>
          <w:trHeight w:val="419"/>
        </w:trPr>
        <w:tc>
          <w:tcPr>
            <w:tcW w:w="15021" w:type="dxa"/>
            <w:shd w:val="clear" w:color="auto" w:fill="D9D9D9" w:themeFill="background1" w:themeFillShade="D9"/>
            <w:vAlign w:val="center"/>
          </w:tcPr>
          <w:p w14:paraId="531E7E46" w14:textId="77777777" w:rsidR="002C6959" w:rsidRPr="00EE6200" w:rsidRDefault="00A06753" w:rsidP="00ED4461">
            <w:pPr>
              <w:pStyle w:val="Akapitzlist"/>
              <w:numPr>
                <w:ilvl w:val="0"/>
                <w:numId w:val="1"/>
              </w:numPr>
              <w:autoSpaceDE w:val="0"/>
              <w:autoSpaceDN w:val="0"/>
              <w:adjustRightInd w:val="0"/>
              <w:spacing w:line="360" w:lineRule="auto"/>
              <w:jc w:val="center"/>
              <w:rPr>
                <w:rFonts w:eastAsiaTheme="minorHAnsi"/>
                <w:b/>
                <w:bCs w:val="0"/>
                <w:sz w:val="21"/>
                <w:szCs w:val="21"/>
                <w:lang w:eastAsia="en-US"/>
              </w:rPr>
            </w:pPr>
            <w:r>
              <w:rPr>
                <w:rFonts w:eastAsiaTheme="minorHAnsi"/>
                <w:b/>
                <w:bCs w:val="0"/>
                <w:sz w:val="21"/>
                <w:szCs w:val="21"/>
                <w:lang w:eastAsia="en-US"/>
              </w:rPr>
              <w:t>MINISTERSTWO ROLNICTWA I ROZWOJU WSI</w:t>
            </w:r>
          </w:p>
        </w:tc>
      </w:tr>
    </w:tbl>
    <w:tbl>
      <w:tblPr>
        <w:tblStyle w:val="Tabela-Siatka"/>
        <w:tblW w:w="0" w:type="auto"/>
        <w:tblLook w:val="04A0" w:firstRow="1" w:lastRow="0" w:firstColumn="1" w:lastColumn="0" w:noHBand="0" w:noVBand="1"/>
      </w:tblPr>
      <w:tblGrid>
        <w:gridCol w:w="804"/>
        <w:gridCol w:w="6704"/>
        <w:gridCol w:w="7513"/>
      </w:tblGrid>
      <w:tr w:rsidR="002159C4" w:rsidRPr="00EE6200" w14:paraId="5C27F28C" w14:textId="77777777" w:rsidTr="00440BCC">
        <w:trPr>
          <w:trHeight w:val="185"/>
        </w:trPr>
        <w:tc>
          <w:tcPr>
            <w:tcW w:w="804" w:type="dxa"/>
            <w:shd w:val="clear" w:color="auto" w:fill="D9D9D9" w:themeFill="background1" w:themeFillShade="D9"/>
          </w:tcPr>
          <w:p w14:paraId="303F1F94" w14:textId="77777777" w:rsidR="002159C4" w:rsidRPr="00EE6200" w:rsidRDefault="002159C4" w:rsidP="002159C4">
            <w:pPr>
              <w:rPr>
                <w:sz w:val="21"/>
                <w:szCs w:val="21"/>
              </w:rPr>
            </w:pPr>
            <w:r w:rsidRPr="00EE6200">
              <w:rPr>
                <w:sz w:val="21"/>
                <w:szCs w:val="21"/>
              </w:rPr>
              <w:t>Lp.</w:t>
            </w:r>
          </w:p>
        </w:tc>
        <w:tc>
          <w:tcPr>
            <w:tcW w:w="6704" w:type="dxa"/>
            <w:shd w:val="clear" w:color="auto" w:fill="D9D9D9" w:themeFill="background1" w:themeFillShade="D9"/>
            <w:vAlign w:val="center"/>
          </w:tcPr>
          <w:p w14:paraId="00AB36C1" w14:textId="77777777" w:rsidR="002159C4" w:rsidRPr="00EE6200" w:rsidRDefault="002159C4" w:rsidP="002159C4">
            <w:pPr>
              <w:jc w:val="center"/>
              <w:rPr>
                <w:sz w:val="21"/>
                <w:szCs w:val="21"/>
              </w:rPr>
            </w:pPr>
            <w:r w:rsidRPr="00EE6200">
              <w:rPr>
                <w:sz w:val="21"/>
                <w:szCs w:val="21"/>
              </w:rPr>
              <w:t>Istota uwagi</w:t>
            </w:r>
          </w:p>
        </w:tc>
        <w:tc>
          <w:tcPr>
            <w:tcW w:w="7513" w:type="dxa"/>
            <w:shd w:val="clear" w:color="auto" w:fill="D9D9D9" w:themeFill="background1" w:themeFillShade="D9"/>
            <w:vAlign w:val="center"/>
          </w:tcPr>
          <w:p w14:paraId="43603040" w14:textId="77777777" w:rsidR="002159C4" w:rsidRPr="00EE6200" w:rsidRDefault="002159C4" w:rsidP="002159C4">
            <w:pPr>
              <w:jc w:val="center"/>
              <w:rPr>
                <w:sz w:val="21"/>
                <w:szCs w:val="21"/>
              </w:rPr>
            </w:pPr>
            <w:r w:rsidRPr="00EE6200">
              <w:rPr>
                <w:sz w:val="21"/>
                <w:szCs w:val="21"/>
              </w:rPr>
              <w:t>Stanowisko wnioskodawcy</w:t>
            </w:r>
          </w:p>
        </w:tc>
      </w:tr>
      <w:tr w:rsidR="002159C4" w:rsidRPr="004F7017" w14:paraId="3FD3477A" w14:textId="77777777" w:rsidTr="00440BCC">
        <w:tc>
          <w:tcPr>
            <w:tcW w:w="804" w:type="dxa"/>
            <w:vAlign w:val="center"/>
          </w:tcPr>
          <w:p w14:paraId="0390CE5D" w14:textId="77777777" w:rsidR="002159C4" w:rsidRPr="00EE6200"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7.</w:t>
            </w:r>
          </w:p>
        </w:tc>
        <w:tc>
          <w:tcPr>
            <w:tcW w:w="6704" w:type="dxa"/>
          </w:tcPr>
          <w:p w14:paraId="65496FAB" w14:textId="77777777" w:rsidR="002159C4" w:rsidRPr="00021B03" w:rsidRDefault="00A06753" w:rsidP="00ED5EFB">
            <w:pPr>
              <w:autoSpaceDE w:val="0"/>
              <w:autoSpaceDN w:val="0"/>
              <w:adjustRightInd w:val="0"/>
              <w:spacing w:after="60"/>
              <w:jc w:val="both"/>
              <w:rPr>
                <w:rFonts w:ascii="TimesNewRomanPSMT" w:eastAsiaTheme="minorHAnsi" w:hAnsi="TimesNewRomanPSMT" w:cs="TimesNewRomanPSMT"/>
                <w:bCs w:val="0"/>
                <w:sz w:val="22"/>
                <w:szCs w:val="22"/>
                <w:lang w:eastAsia="en-US"/>
              </w:rPr>
            </w:pPr>
            <w:r>
              <w:rPr>
                <w:rFonts w:asciiTheme="minorHAnsi" w:hAnsiTheme="minorHAnsi" w:cstheme="minorHAnsi"/>
                <w:sz w:val="22"/>
                <w:szCs w:val="22"/>
              </w:rPr>
              <w:t>W</w:t>
            </w:r>
            <w:r w:rsidRPr="000118FC">
              <w:rPr>
                <w:rFonts w:asciiTheme="minorHAnsi" w:hAnsiTheme="minorHAnsi" w:cstheme="minorHAnsi"/>
                <w:sz w:val="22"/>
                <w:szCs w:val="22"/>
              </w:rPr>
              <w:t xml:space="preserve"> § 4 w ust. 3 projektu rozporządzenia wskazuje się na listę obszarów, którą ustala się przed ogłoszeniem procedury wyboru, na podstawie informacji o istniejącej oraz planowanej infrastrukturze szerokopasmowej. Należałoby doprecyzować jak będzie ustalana kolejność na liście obszarów, które otrzymają wsparcie</w:t>
            </w:r>
            <w:r>
              <w:rPr>
                <w:rFonts w:asciiTheme="minorHAnsi" w:hAnsiTheme="minorHAnsi" w:cstheme="minorHAnsi"/>
                <w:sz w:val="22"/>
                <w:szCs w:val="22"/>
              </w:rPr>
              <w:t>.</w:t>
            </w:r>
          </w:p>
        </w:tc>
        <w:tc>
          <w:tcPr>
            <w:tcW w:w="7513" w:type="dxa"/>
          </w:tcPr>
          <w:p w14:paraId="4D4DE191" w14:textId="77777777" w:rsidR="002159C4" w:rsidRPr="00E30013" w:rsidRDefault="00A06753" w:rsidP="00A06753">
            <w:pPr>
              <w:autoSpaceDE w:val="0"/>
              <w:autoSpaceDN w:val="0"/>
              <w:adjustRightInd w:val="0"/>
              <w:spacing w:after="120"/>
              <w:jc w:val="both"/>
              <w:rPr>
                <w:rFonts w:eastAsiaTheme="minorHAnsi"/>
                <w:b/>
                <w:bCs w:val="0"/>
                <w:sz w:val="21"/>
                <w:szCs w:val="21"/>
                <w:lang w:eastAsia="en-US"/>
              </w:rPr>
            </w:pPr>
            <w:r>
              <w:rPr>
                <w:rFonts w:asciiTheme="minorHAnsi" w:hAnsiTheme="minorHAnsi" w:cstheme="minorHAnsi"/>
                <w:sz w:val="22"/>
                <w:szCs w:val="22"/>
              </w:rPr>
              <w:t>Rozporządzenie nie przesądza, gdzie dokładnie (ostatecznie) zostanie udzielona pomoc, a jedynie określa ogólną regułę, w jaki sposób ustalane są obszary, na których mogą być realizowane przedsięwzięcia. Nie jest możliwe wskazanie w rozporządzeniu kolejności realizacji projektów. W ramach konkursów nie jest również ustalana „kolejność obszarów, które otrzymają wsparcie”.</w:t>
            </w:r>
          </w:p>
        </w:tc>
      </w:tr>
      <w:tr w:rsidR="00A06753" w:rsidRPr="004F7017" w14:paraId="1BF53C05" w14:textId="77777777" w:rsidTr="00440BCC">
        <w:tc>
          <w:tcPr>
            <w:tcW w:w="804" w:type="dxa"/>
            <w:vAlign w:val="center"/>
          </w:tcPr>
          <w:p w14:paraId="2769D7F5" w14:textId="77777777" w:rsidR="00A06753" w:rsidRPr="00EE6200" w:rsidRDefault="00A06753" w:rsidP="002159C4">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 xml:space="preserve">8. </w:t>
            </w:r>
          </w:p>
        </w:tc>
        <w:tc>
          <w:tcPr>
            <w:tcW w:w="6704" w:type="dxa"/>
          </w:tcPr>
          <w:p w14:paraId="228E942B" w14:textId="77777777" w:rsidR="00A06753" w:rsidRDefault="00A06753" w:rsidP="00ED5EFB">
            <w:pPr>
              <w:autoSpaceDE w:val="0"/>
              <w:autoSpaceDN w:val="0"/>
              <w:adjustRightInd w:val="0"/>
              <w:spacing w:after="60"/>
              <w:jc w:val="both"/>
              <w:rPr>
                <w:rFonts w:asciiTheme="minorHAnsi" w:hAnsiTheme="minorHAnsi" w:cstheme="minorHAnsi"/>
                <w:sz w:val="22"/>
                <w:szCs w:val="22"/>
              </w:rPr>
            </w:pPr>
            <w:r>
              <w:rPr>
                <w:rFonts w:asciiTheme="minorHAnsi" w:hAnsiTheme="minorHAnsi" w:cstheme="minorHAnsi"/>
                <w:sz w:val="22"/>
                <w:szCs w:val="22"/>
              </w:rPr>
              <w:t>W</w:t>
            </w:r>
            <w:r w:rsidRPr="000118FC">
              <w:rPr>
                <w:rFonts w:asciiTheme="minorHAnsi" w:hAnsiTheme="minorHAnsi" w:cstheme="minorHAnsi"/>
                <w:sz w:val="22"/>
                <w:szCs w:val="22"/>
              </w:rPr>
              <w:t xml:space="preserve"> § 6 w ust. 3 przedmiotowego rozporządzenia wskazano, że "równowartość udzielonego wsparcia oblicza się przy zastosowaniu średniego dziennego kursu euro ustalonego przez Narodowy Bank Polski w dniu udzielenia pomocy". Zgodnie z informacjami przekazywanymi przez Instytucję Koordynującą KPO (</w:t>
            </w:r>
            <w:proofErr w:type="spellStart"/>
            <w:r w:rsidRPr="000118FC">
              <w:rPr>
                <w:rFonts w:asciiTheme="minorHAnsi" w:hAnsiTheme="minorHAnsi" w:cstheme="minorHAnsi"/>
                <w:sz w:val="22"/>
                <w:szCs w:val="22"/>
              </w:rPr>
              <w:t>MFiPR</w:t>
            </w:r>
            <w:proofErr w:type="spellEnd"/>
            <w:r w:rsidRPr="000118FC">
              <w:rPr>
                <w:rFonts w:asciiTheme="minorHAnsi" w:hAnsiTheme="minorHAnsi" w:cstheme="minorHAnsi"/>
                <w:sz w:val="22"/>
                <w:szCs w:val="22"/>
              </w:rPr>
              <w:t xml:space="preserve">), kurs ten jest stały i wynosi 1 EUR = 4,4819 PLN (i przy takim kursie kwota inwestycji jest przeliczana w porozumieniu </w:t>
            </w:r>
            <w:proofErr w:type="spellStart"/>
            <w:r w:rsidRPr="000118FC">
              <w:rPr>
                <w:rFonts w:asciiTheme="minorHAnsi" w:hAnsiTheme="minorHAnsi" w:cstheme="minorHAnsi"/>
                <w:sz w:val="22"/>
                <w:szCs w:val="22"/>
              </w:rPr>
              <w:t>ws</w:t>
            </w:r>
            <w:proofErr w:type="spellEnd"/>
            <w:r w:rsidRPr="000118FC">
              <w:rPr>
                <w:rFonts w:asciiTheme="minorHAnsi" w:hAnsiTheme="minorHAnsi" w:cstheme="minorHAnsi"/>
                <w:sz w:val="22"/>
                <w:szCs w:val="22"/>
              </w:rPr>
              <w:t>. realizacji reform/inwestycji).</w:t>
            </w:r>
          </w:p>
        </w:tc>
        <w:tc>
          <w:tcPr>
            <w:tcW w:w="7513" w:type="dxa"/>
          </w:tcPr>
          <w:p w14:paraId="52D6F802" w14:textId="77777777" w:rsidR="00A06753" w:rsidRDefault="00A06753" w:rsidP="00A06753">
            <w:pPr>
              <w:autoSpaceDE w:val="0"/>
              <w:autoSpaceDN w:val="0"/>
              <w:adjustRightInd w:val="0"/>
              <w:spacing w:after="120"/>
              <w:jc w:val="both"/>
              <w:rPr>
                <w:rFonts w:asciiTheme="minorHAnsi" w:hAnsiTheme="minorHAnsi" w:cstheme="minorHAnsi"/>
                <w:sz w:val="22"/>
                <w:szCs w:val="22"/>
              </w:rPr>
            </w:pPr>
            <w:r>
              <w:rPr>
                <w:rFonts w:asciiTheme="minorHAnsi" w:hAnsiTheme="minorHAnsi" w:cstheme="minorHAnsi"/>
                <w:sz w:val="22"/>
                <w:szCs w:val="22"/>
              </w:rPr>
              <w:t>Projektowany przepis dotyczy udzielania pomocy publicznej przedsiębiorcy, a nie rozliczeń systemowych w obszarze wdrażania KPO.</w:t>
            </w:r>
          </w:p>
        </w:tc>
      </w:tr>
    </w:tbl>
    <w:tbl>
      <w:tblPr>
        <w:tblStyle w:val="Tabela-Siatka1"/>
        <w:tblW w:w="0" w:type="auto"/>
        <w:tblLook w:val="04A0" w:firstRow="1" w:lastRow="0" w:firstColumn="1" w:lastColumn="0" w:noHBand="0" w:noVBand="1"/>
      </w:tblPr>
      <w:tblGrid>
        <w:gridCol w:w="15021"/>
      </w:tblGrid>
      <w:tr w:rsidR="002C6959" w:rsidRPr="00EE6200" w14:paraId="3668A971" w14:textId="77777777" w:rsidTr="00AB3117">
        <w:trPr>
          <w:trHeight w:val="419"/>
        </w:trPr>
        <w:tc>
          <w:tcPr>
            <w:tcW w:w="15021" w:type="dxa"/>
            <w:shd w:val="clear" w:color="auto" w:fill="D9D9D9" w:themeFill="background1" w:themeFillShade="D9"/>
            <w:vAlign w:val="center"/>
          </w:tcPr>
          <w:p w14:paraId="2A0C56BF" w14:textId="77777777" w:rsidR="002C6959" w:rsidRPr="00EE6200" w:rsidRDefault="00A06753" w:rsidP="00ED4461">
            <w:pPr>
              <w:pStyle w:val="Akapitzlist"/>
              <w:numPr>
                <w:ilvl w:val="0"/>
                <w:numId w:val="1"/>
              </w:numPr>
              <w:autoSpaceDE w:val="0"/>
              <w:autoSpaceDN w:val="0"/>
              <w:adjustRightInd w:val="0"/>
              <w:spacing w:line="360" w:lineRule="auto"/>
              <w:jc w:val="center"/>
              <w:rPr>
                <w:rFonts w:eastAsiaTheme="minorHAnsi"/>
                <w:b/>
                <w:bCs w:val="0"/>
                <w:sz w:val="21"/>
                <w:szCs w:val="21"/>
                <w:lang w:eastAsia="en-US"/>
              </w:rPr>
            </w:pPr>
            <w:r>
              <w:rPr>
                <w:rFonts w:eastAsiaTheme="minorHAnsi"/>
                <w:b/>
                <w:bCs w:val="0"/>
                <w:sz w:val="21"/>
                <w:szCs w:val="21"/>
                <w:lang w:eastAsia="en-US"/>
              </w:rPr>
              <w:lastRenderedPageBreak/>
              <w:t>MINISTERSWO ROZWOJU i TECHNOLOGI</w:t>
            </w:r>
          </w:p>
        </w:tc>
      </w:tr>
    </w:tbl>
    <w:tbl>
      <w:tblPr>
        <w:tblStyle w:val="Tabela-Siatka"/>
        <w:tblW w:w="0" w:type="auto"/>
        <w:tblLook w:val="04A0" w:firstRow="1" w:lastRow="0" w:firstColumn="1" w:lastColumn="0" w:noHBand="0" w:noVBand="1"/>
      </w:tblPr>
      <w:tblGrid>
        <w:gridCol w:w="810"/>
        <w:gridCol w:w="6698"/>
        <w:gridCol w:w="7513"/>
      </w:tblGrid>
      <w:tr w:rsidR="002159C4" w:rsidRPr="00EE6200" w14:paraId="5E2F6F27" w14:textId="77777777" w:rsidTr="00AB3117">
        <w:trPr>
          <w:trHeight w:val="291"/>
        </w:trPr>
        <w:tc>
          <w:tcPr>
            <w:tcW w:w="810" w:type="dxa"/>
            <w:shd w:val="clear" w:color="auto" w:fill="D9D9D9" w:themeFill="background1" w:themeFillShade="D9"/>
          </w:tcPr>
          <w:p w14:paraId="68391589" w14:textId="77777777" w:rsidR="002159C4" w:rsidRPr="00EE6200" w:rsidRDefault="002159C4" w:rsidP="002159C4">
            <w:pPr>
              <w:rPr>
                <w:sz w:val="21"/>
                <w:szCs w:val="21"/>
              </w:rPr>
            </w:pPr>
            <w:r w:rsidRPr="00EE6200">
              <w:rPr>
                <w:sz w:val="21"/>
                <w:szCs w:val="21"/>
              </w:rPr>
              <w:t>Lp.</w:t>
            </w:r>
          </w:p>
        </w:tc>
        <w:tc>
          <w:tcPr>
            <w:tcW w:w="6698" w:type="dxa"/>
            <w:shd w:val="clear" w:color="auto" w:fill="D9D9D9" w:themeFill="background1" w:themeFillShade="D9"/>
            <w:vAlign w:val="center"/>
          </w:tcPr>
          <w:p w14:paraId="70FC1F87" w14:textId="77777777" w:rsidR="002159C4" w:rsidRPr="00EE6200" w:rsidRDefault="002159C4" w:rsidP="002159C4">
            <w:pPr>
              <w:jc w:val="center"/>
              <w:rPr>
                <w:sz w:val="21"/>
                <w:szCs w:val="21"/>
              </w:rPr>
            </w:pPr>
            <w:r w:rsidRPr="00EE6200">
              <w:rPr>
                <w:sz w:val="21"/>
                <w:szCs w:val="21"/>
              </w:rPr>
              <w:t>Istota uwagi</w:t>
            </w:r>
          </w:p>
        </w:tc>
        <w:tc>
          <w:tcPr>
            <w:tcW w:w="7513" w:type="dxa"/>
            <w:shd w:val="clear" w:color="auto" w:fill="D9D9D9" w:themeFill="background1" w:themeFillShade="D9"/>
            <w:vAlign w:val="center"/>
          </w:tcPr>
          <w:p w14:paraId="13527A6D" w14:textId="77777777" w:rsidR="002159C4" w:rsidRPr="00EE6200" w:rsidRDefault="002159C4" w:rsidP="002159C4">
            <w:pPr>
              <w:jc w:val="center"/>
              <w:rPr>
                <w:sz w:val="21"/>
                <w:szCs w:val="21"/>
              </w:rPr>
            </w:pPr>
            <w:r w:rsidRPr="00EE6200">
              <w:rPr>
                <w:sz w:val="21"/>
                <w:szCs w:val="21"/>
              </w:rPr>
              <w:t>Stanowisko wnioskodawcy</w:t>
            </w:r>
          </w:p>
        </w:tc>
      </w:tr>
      <w:tr w:rsidR="0087793D" w:rsidRPr="004F7017" w14:paraId="184786CB" w14:textId="77777777" w:rsidTr="00AB3117">
        <w:tc>
          <w:tcPr>
            <w:tcW w:w="810" w:type="dxa"/>
            <w:vAlign w:val="center"/>
          </w:tcPr>
          <w:p w14:paraId="5CC816EA" w14:textId="156A074F" w:rsidR="0087793D" w:rsidRPr="00EE6200" w:rsidRDefault="00450BF7" w:rsidP="0087793D">
            <w:pPr>
              <w:autoSpaceDE w:val="0"/>
              <w:autoSpaceDN w:val="0"/>
              <w:adjustRightInd w:val="0"/>
              <w:spacing w:before="60" w:after="60" w:line="264" w:lineRule="auto"/>
              <w:contextualSpacing/>
              <w:jc w:val="center"/>
              <w:rPr>
                <w:rFonts w:eastAsiaTheme="minorHAnsi"/>
                <w:b/>
                <w:bCs w:val="0"/>
                <w:sz w:val="21"/>
                <w:szCs w:val="21"/>
                <w:lang w:eastAsia="en-US"/>
              </w:rPr>
            </w:pPr>
            <w:r>
              <w:rPr>
                <w:rFonts w:eastAsiaTheme="minorHAnsi"/>
                <w:b/>
                <w:bCs w:val="0"/>
                <w:sz w:val="21"/>
                <w:szCs w:val="21"/>
                <w:lang w:eastAsia="en-US"/>
              </w:rPr>
              <w:t>9.</w:t>
            </w:r>
          </w:p>
        </w:tc>
        <w:tc>
          <w:tcPr>
            <w:tcW w:w="6698" w:type="dxa"/>
          </w:tcPr>
          <w:p w14:paraId="0323F07E" w14:textId="77777777" w:rsidR="0087793D" w:rsidRPr="008841B6" w:rsidRDefault="0087793D" w:rsidP="0087793D">
            <w:pPr>
              <w:autoSpaceDE w:val="0"/>
              <w:autoSpaceDN w:val="0"/>
              <w:adjustRightInd w:val="0"/>
              <w:jc w:val="both"/>
              <w:rPr>
                <w:rFonts w:ascii="TimesNewRomanPSMT" w:eastAsiaTheme="minorHAnsi" w:hAnsi="TimesNewRomanPSMT" w:cs="TimesNewRomanPSMT"/>
                <w:bCs w:val="0"/>
                <w:sz w:val="22"/>
                <w:szCs w:val="22"/>
                <w:lang w:eastAsia="en-US"/>
              </w:rPr>
            </w:pPr>
          </w:p>
          <w:p w14:paraId="14CDD151" w14:textId="77777777" w:rsidR="0087793D" w:rsidRDefault="00A06753" w:rsidP="0087793D">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w:t>
            </w:r>
            <w:r w:rsidRPr="00B970EF">
              <w:rPr>
                <w:rFonts w:asciiTheme="minorHAnsi" w:hAnsiTheme="minorHAnsi" w:cstheme="minorHAnsi"/>
                <w:sz w:val="22"/>
                <w:szCs w:val="22"/>
              </w:rPr>
              <w:t xml:space="preserve"> 2 pkt. 11</w:t>
            </w:r>
            <w:r>
              <w:rPr>
                <w:rFonts w:asciiTheme="minorHAnsi" w:hAnsiTheme="minorHAnsi" w:cstheme="minorHAnsi"/>
                <w:sz w:val="22"/>
                <w:szCs w:val="22"/>
              </w:rPr>
              <w:t xml:space="preserve"> - </w:t>
            </w:r>
            <w:r w:rsidRPr="00B970EF">
              <w:rPr>
                <w:rFonts w:asciiTheme="minorHAnsi" w:hAnsiTheme="minorHAnsi" w:cstheme="minorHAnsi"/>
                <w:sz w:val="22"/>
                <w:szCs w:val="22"/>
              </w:rPr>
              <w:t xml:space="preserve">Powyższa zmiana ma na celu zapewnienie skutecznej realizacji celu wyznaczonego przez Komisję Europejską w Komunikacie COM(2021) 118 </w:t>
            </w:r>
            <w:proofErr w:type="spellStart"/>
            <w:r w:rsidRPr="00B970EF">
              <w:rPr>
                <w:rFonts w:asciiTheme="minorHAnsi" w:hAnsiTheme="minorHAnsi" w:cstheme="minorHAnsi"/>
                <w:sz w:val="22"/>
                <w:szCs w:val="22"/>
              </w:rPr>
              <w:t>final</w:t>
            </w:r>
            <w:proofErr w:type="spellEnd"/>
            <w:r w:rsidRPr="00B970EF">
              <w:rPr>
                <w:rFonts w:asciiTheme="minorHAnsi" w:hAnsiTheme="minorHAnsi" w:cstheme="minorHAnsi"/>
                <w:sz w:val="22"/>
                <w:szCs w:val="22"/>
              </w:rPr>
              <w:t xml:space="preserve"> "Cyfrowy kompas na 2030 r.: europejska droga w cyfrowej dekadzie", gdzie postawiono cel, aby w 2030 roku wszystkie europejskie gospodarstwa domowe zostały objęte siecią gigabitową. Postawienie jako kryterium finansowania minimalnej przepustowości 1 </w:t>
            </w:r>
            <w:proofErr w:type="spellStart"/>
            <w:r w:rsidRPr="00B970EF">
              <w:rPr>
                <w:rFonts w:asciiTheme="minorHAnsi" w:hAnsiTheme="minorHAnsi" w:cstheme="minorHAnsi"/>
                <w:sz w:val="22"/>
                <w:szCs w:val="22"/>
              </w:rPr>
              <w:t>Gb</w:t>
            </w:r>
            <w:proofErr w:type="spellEnd"/>
            <w:r w:rsidRPr="00B970EF">
              <w:rPr>
                <w:rFonts w:asciiTheme="minorHAnsi" w:hAnsiTheme="minorHAnsi" w:cstheme="minorHAnsi"/>
                <w:sz w:val="22"/>
                <w:szCs w:val="22"/>
              </w:rPr>
              <w:t>/s pozwoli na zwiększenie pewności osiągnięcia przez Polskę wskazanego celu bez potrzeby ponownego przeznaczania na to środków finansowych, zwłaszcza że na rynku są szeroko dostępne technologie np. oparte na światłowodach, które pozwalają na jego osiągnięcie.</w:t>
            </w:r>
          </w:p>
          <w:p w14:paraId="36E3C51B" w14:textId="77777777" w:rsidR="00A06753" w:rsidRDefault="00A06753" w:rsidP="00A06753">
            <w:pPr>
              <w:rPr>
                <w:rFonts w:asciiTheme="minorHAnsi" w:hAnsiTheme="minorHAnsi" w:cstheme="minorHAnsi"/>
                <w:sz w:val="22"/>
                <w:szCs w:val="22"/>
              </w:rPr>
            </w:pPr>
            <w:r w:rsidRPr="00B970EF">
              <w:rPr>
                <w:rFonts w:asciiTheme="minorHAnsi" w:hAnsiTheme="minorHAnsi" w:cstheme="minorHAnsi"/>
                <w:sz w:val="22"/>
                <w:szCs w:val="22"/>
              </w:rPr>
              <w:t>11) sieciach NGA – należy przez to rozumieć sieci szerokopasmowe, umożliwiające</w:t>
            </w:r>
            <w:r>
              <w:rPr>
                <w:rFonts w:asciiTheme="minorHAnsi" w:hAnsiTheme="minorHAnsi" w:cstheme="minorHAnsi"/>
                <w:sz w:val="22"/>
                <w:szCs w:val="22"/>
              </w:rPr>
              <w:t xml:space="preserve"> </w:t>
            </w:r>
            <w:r w:rsidRPr="00B970EF">
              <w:rPr>
                <w:rFonts w:asciiTheme="minorHAnsi" w:hAnsiTheme="minorHAnsi" w:cstheme="minorHAnsi"/>
                <w:sz w:val="22"/>
                <w:szCs w:val="22"/>
              </w:rPr>
              <w:t xml:space="preserve">świadczenie usług dostępu do </w:t>
            </w:r>
            <w:proofErr w:type="spellStart"/>
            <w:r w:rsidRPr="00B970EF">
              <w:rPr>
                <w:rFonts w:asciiTheme="minorHAnsi" w:hAnsiTheme="minorHAnsi" w:cstheme="minorHAnsi"/>
                <w:sz w:val="22"/>
                <w:szCs w:val="22"/>
              </w:rPr>
              <w:t>internetu</w:t>
            </w:r>
            <w:proofErr w:type="spellEnd"/>
            <w:r w:rsidRPr="00B970EF">
              <w:rPr>
                <w:rFonts w:asciiTheme="minorHAnsi" w:hAnsiTheme="minorHAnsi" w:cstheme="minorHAnsi"/>
                <w:sz w:val="22"/>
                <w:szCs w:val="22"/>
              </w:rPr>
              <w:t xml:space="preserve"> o gwarantowanej przepustowości co</w:t>
            </w:r>
            <w:r>
              <w:rPr>
                <w:rFonts w:asciiTheme="minorHAnsi" w:hAnsiTheme="minorHAnsi" w:cstheme="minorHAnsi"/>
                <w:sz w:val="22"/>
                <w:szCs w:val="22"/>
              </w:rPr>
              <w:t xml:space="preserve"> najmniej 1 </w:t>
            </w:r>
            <w:proofErr w:type="spellStart"/>
            <w:r>
              <w:rPr>
                <w:rFonts w:asciiTheme="minorHAnsi" w:hAnsiTheme="minorHAnsi" w:cstheme="minorHAnsi"/>
                <w:sz w:val="22"/>
                <w:szCs w:val="22"/>
              </w:rPr>
              <w:t>Gb</w:t>
            </w:r>
            <w:proofErr w:type="spellEnd"/>
            <w:r>
              <w:rPr>
                <w:rFonts w:asciiTheme="minorHAnsi" w:hAnsiTheme="minorHAnsi" w:cstheme="minorHAnsi"/>
                <w:sz w:val="22"/>
                <w:szCs w:val="22"/>
              </w:rPr>
              <w:t>/s</w:t>
            </w:r>
          </w:p>
          <w:p w14:paraId="5B0D5B86" w14:textId="77777777" w:rsidR="00A06753" w:rsidRPr="00021B03" w:rsidRDefault="00A06753" w:rsidP="0087793D">
            <w:pPr>
              <w:autoSpaceDE w:val="0"/>
              <w:autoSpaceDN w:val="0"/>
              <w:adjustRightInd w:val="0"/>
              <w:jc w:val="both"/>
              <w:rPr>
                <w:rFonts w:ascii="TimesNewRomanPSMT" w:eastAsiaTheme="minorHAnsi" w:hAnsi="TimesNewRomanPSMT" w:cs="TimesNewRomanPSMT"/>
                <w:bCs w:val="0"/>
                <w:sz w:val="22"/>
                <w:szCs w:val="22"/>
                <w:lang w:eastAsia="en-US"/>
              </w:rPr>
            </w:pPr>
          </w:p>
        </w:tc>
        <w:tc>
          <w:tcPr>
            <w:tcW w:w="7513" w:type="dxa"/>
          </w:tcPr>
          <w:p w14:paraId="2A7CFECB" w14:textId="77777777" w:rsidR="0087793D" w:rsidRPr="00E30013" w:rsidRDefault="00A06753" w:rsidP="00A06753">
            <w:pPr>
              <w:autoSpaceDE w:val="0"/>
              <w:autoSpaceDN w:val="0"/>
              <w:adjustRightInd w:val="0"/>
              <w:spacing w:after="120"/>
              <w:jc w:val="both"/>
              <w:rPr>
                <w:rFonts w:eastAsiaTheme="minorHAnsi"/>
                <w:b/>
                <w:bCs w:val="0"/>
                <w:sz w:val="21"/>
                <w:szCs w:val="21"/>
                <w:lang w:eastAsia="en-US"/>
              </w:rPr>
            </w:pPr>
            <w:r>
              <w:rPr>
                <w:rFonts w:asciiTheme="minorHAnsi" w:hAnsiTheme="minorHAnsi" w:cstheme="minorHAnsi"/>
                <w:sz w:val="22"/>
                <w:szCs w:val="22"/>
              </w:rPr>
              <w:t xml:space="preserve">Zgodnie z Krajowym Planem Odbudowy (oraz zgodnie z Narodowym Planem Szerokopasmowym), celem inwestycji C1.1.1 jest budowa sieci szerokopasmowych, zapewniających usługi dostępu do Internetu o przepustowości co najmniej 100 </w:t>
            </w:r>
            <w:proofErr w:type="spellStart"/>
            <w:r>
              <w:rPr>
                <w:rFonts w:asciiTheme="minorHAnsi" w:hAnsiTheme="minorHAnsi" w:cstheme="minorHAnsi"/>
                <w:sz w:val="22"/>
                <w:szCs w:val="22"/>
              </w:rPr>
              <w:t>Mb</w:t>
            </w:r>
            <w:proofErr w:type="spellEnd"/>
            <w:r>
              <w:rPr>
                <w:rFonts w:asciiTheme="minorHAnsi" w:hAnsiTheme="minorHAnsi" w:cstheme="minorHAnsi"/>
                <w:sz w:val="22"/>
                <w:szCs w:val="22"/>
              </w:rPr>
              <w:t xml:space="preserve">/s, ale jednocześnie sieci te powinny mieć możliwość unowocześnienia do przepustowości 1 </w:t>
            </w:r>
            <w:proofErr w:type="spellStart"/>
            <w:r>
              <w:rPr>
                <w:rFonts w:asciiTheme="minorHAnsi" w:hAnsiTheme="minorHAnsi" w:cstheme="minorHAnsi"/>
                <w:sz w:val="22"/>
                <w:szCs w:val="22"/>
              </w:rPr>
              <w:t>Gb</w:t>
            </w:r>
            <w:proofErr w:type="spellEnd"/>
            <w:r>
              <w:rPr>
                <w:rFonts w:asciiTheme="minorHAnsi" w:hAnsiTheme="minorHAnsi" w:cstheme="minorHAnsi"/>
                <w:sz w:val="22"/>
                <w:szCs w:val="22"/>
              </w:rPr>
              <w:t>/s i większych.</w:t>
            </w:r>
          </w:p>
        </w:tc>
      </w:tr>
    </w:tbl>
    <w:p w14:paraId="0B0AD372" w14:textId="77777777" w:rsidR="002C6959" w:rsidRDefault="002C6959" w:rsidP="002C6959"/>
    <w:p w14:paraId="395E6AA5" w14:textId="77777777" w:rsidR="009B1840" w:rsidRDefault="009B1840" w:rsidP="00760C78">
      <w:pPr>
        <w:pStyle w:val="Nagwek"/>
        <w:tabs>
          <w:tab w:val="left" w:pos="708"/>
        </w:tabs>
        <w:jc w:val="right"/>
        <w:rPr>
          <w:b/>
          <w:sz w:val="21"/>
          <w:szCs w:val="21"/>
        </w:rPr>
      </w:pPr>
    </w:p>
    <w:p w14:paraId="762E188D" w14:textId="77777777" w:rsidR="009B1840" w:rsidRDefault="009B1840" w:rsidP="00760C78">
      <w:pPr>
        <w:pStyle w:val="Nagwek"/>
        <w:tabs>
          <w:tab w:val="left" w:pos="708"/>
        </w:tabs>
        <w:jc w:val="right"/>
        <w:rPr>
          <w:b/>
          <w:sz w:val="21"/>
          <w:szCs w:val="21"/>
        </w:rPr>
      </w:pPr>
    </w:p>
    <w:sectPr w:rsidR="009B1840" w:rsidSect="009A082B">
      <w:footerReference w:type="even" r:id="rId8"/>
      <w:footerReference w:type="default" r:id="rId9"/>
      <w:pgSz w:w="16838" w:h="11906" w:orient="landscape"/>
      <w:pgMar w:top="1304"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03595" w14:textId="77777777" w:rsidR="0029402F" w:rsidRDefault="0029402F">
      <w:r>
        <w:separator/>
      </w:r>
    </w:p>
  </w:endnote>
  <w:endnote w:type="continuationSeparator" w:id="0">
    <w:p w14:paraId="72B9568D" w14:textId="77777777" w:rsidR="0029402F" w:rsidRDefault="00294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EBE7E" w14:textId="77777777" w:rsidR="00563958" w:rsidRDefault="00563958" w:rsidP="00E54A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98EEAF8" w14:textId="77777777" w:rsidR="00563958" w:rsidRDefault="00563958" w:rsidP="00E54AD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5ADBB" w14:textId="77777777" w:rsidR="00563958" w:rsidRPr="00933A10" w:rsidRDefault="00563958">
    <w:pPr>
      <w:pStyle w:val="Stopka"/>
      <w:jc w:val="right"/>
      <w:rPr>
        <w:sz w:val="20"/>
        <w:szCs w:val="20"/>
      </w:rPr>
    </w:pPr>
    <w:r w:rsidRPr="00933A10">
      <w:rPr>
        <w:sz w:val="20"/>
        <w:szCs w:val="20"/>
      </w:rPr>
      <w:fldChar w:fldCharType="begin"/>
    </w:r>
    <w:r w:rsidRPr="00933A10">
      <w:rPr>
        <w:sz w:val="20"/>
        <w:szCs w:val="20"/>
      </w:rPr>
      <w:instrText>PAGE   \* MERGEFORMAT</w:instrText>
    </w:r>
    <w:r w:rsidRPr="00933A10">
      <w:rPr>
        <w:sz w:val="20"/>
        <w:szCs w:val="20"/>
      </w:rPr>
      <w:fldChar w:fldCharType="separate"/>
    </w:r>
    <w:r w:rsidR="00001D36">
      <w:rPr>
        <w:noProof/>
        <w:sz w:val="20"/>
        <w:szCs w:val="20"/>
      </w:rPr>
      <w:t>5</w:t>
    </w:r>
    <w:r w:rsidRPr="00933A10">
      <w:rPr>
        <w:sz w:val="20"/>
        <w:szCs w:val="20"/>
      </w:rPr>
      <w:fldChar w:fldCharType="end"/>
    </w:r>
  </w:p>
  <w:p w14:paraId="3876E56E" w14:textId="77777777" w:rsidR="00563958" w:rsidRDefault="00563958" w:rsidP="00E54AD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0DF62" w14:textId="77777777" w:rsidR="0029402F" w:rsidRDefault="0029402F">
      <w:r>
        <w:separator/>
      </w:r>
    </w:p>
  </w:footnote>
  <w:footnote w:type="continuationSeparator" w:id="0">
    <w:p w14:paraId="5BF0E322" w14:textId="77777777" w:rsidR="0029402F" w:rsidRDefault="00294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6719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5292F9C"/>
    <w:multiLevelType w:val="hybridMultilevel"/>
    <w:tmpl w:val="D330871E"/>
    <w:lvl w:ilvl="0" w:tplc="2C948878">
      <w:start w:val="1"/>
      <w:numFmt w:val="decimal"/>
      <w:lvlText w:val="%1."/>
      <w:lvlJc w:val="left"/>
      <w:pPr>
        <w:ind w:left="-132" w:hanging="360"/>
      </w:pPr>
      <w:rPr>
        <w:rFonts w:hint="default"/>
        <w:color w:val="000000" w:themeColor="text1"/>
      </w:rPr>
    </w:lvl>
    <w:lvl w:ilvl="1" w:tplc="04150019" w:tentative="1">
      <w:start w:val="1"/>
      <w:numFmt w:val="lowerLetter"/>
      <w:lvlText w:val="%2."/>
      <w:lvlJc w:val="left"/>
      <w:pPr>
        <w:ind w:left="588" w:hanging="360"/>
      </w:pPr>
    </w:lvl>
    <w:lvl w:ilvl="2" w:tplc="0415001B" w:tentative="1">
      <w:start w:val="1"/>
      <w:numFmt w:val="lowerRoman"/>
      <w:lvlText w:val="%3."/>
      <w:lvlJc w:val="right"/>
      <w:pPr>
        <w:ind w:left="1308" w:hanging="180"/>
      </w:pPr>
    </w:lvl>
    <w:lvl w:ilvl="3" w:tplc="0415000F" w:tentative="1">
      <w:start w:val="1"/>
      <w:numFmt w:val="decimal"/>
      <w:lvlText w:val="%4."/>
      <w:lvlJc w:val="left"/>
      <w:pPr>
        <w:ind w:left="2028" w:hanging="360"/>
      </w:pPr>
    </w:lvl>
    <w:lvl w:ilvl="4" w:tplc="04150019" w:tentative="1">
      <w:start w:val="1"/>
      <w:numFmt w:val="lowerLetter"/>
      <w:lvlText w:val="%5."/>
      <w:lvlJc w:val="left"/>
      <w:pPr>
        <w:ind w:left="2748" w:hanging="360"/>
      </w:pPr>
    </w:lvl>
    <w:lvl w:ilvl="5" w:tplc="0415001B" w:tentative="1">
      <w:start w:val="1"/>
      <w:numFmt w:val="lowerRoman"/>
      <w:lvlText w:val="%6."/>
      <w:lvlJc w:val="right"/>
      <w:pPr>
        <w:ind w:left="3468" w:hanging="180"/>
      </w:pPr>
    </w:lvl>
    <w:lvl w:ilvl="6" w:tplc="0415000F" w:tentative="1">
      <w:start w:val="1"/>
      <w:numFmt w:val="decimal"/>
      <w:lvlText w:val="%7."/>
      <w:lvlJc w:val="left"/>
      <w:pPr>
        <w:ind w:left="4188" w:hanging="360"/>
      </w:pPr>
    </w:lvl>
    <w:lvl w:ilvl="7" w:tplc="04150019" w:tentative="1">
      <w:start w:val="1"/>
      <w:numFmt w:val="lowerLetter"/>
      <w:lvlText w:val="%8."/>
      <w:lvlJc w:val="left"/>
      <w:pPr>
        <w:ind w:left="4908" w:hanging="360"/>
      </w:pPr>
    </w:lvl>
    <w:lvl w:ilvl="8" w:tplc="0415001B" w:tentative="1">
      <w:start w:val="1"/>
      <w:numFmt w:val="lowerRoman"/>
      <w:lvlText w:val="%9."/>
      <w:lvlJc w:val="right"/>
      <w:pPr>
        <w:ind w:left="5628" w:hanging="180"/>
      </w:pPr>
    </w:lvl>
  </w:abstractNum>
  <w:abstractNum w:abstractNumId="2">
    <w:nsid w:val="372D730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DF"/>
    <w:rsid w:val="00001003"/>
    <w:rsid w:val="00001D36"/>
    <w:rsid w:val="00005D37"/>
    <w:rsid w:val="000079DB"/>
    <w:rsid w:val="000239BD"/>
    <w:rsid w:val="00023A2B"/>
    <w:rsid w:val="00026149"/>
    <w:rsid w:val="00026743"/>
    <w:rsid w:val="00040397"/>
    <w:rsid w:val="00040C66"/>
    <w:rsid w:val="00041F0B"/>
    <w:rsid w:val="000523DB"/>
    <w:rsid w:val="00054112"/>
    <w:rsid w:val="00054987"/>
    <w:rsid w:val="00056093"/>
    <w:rsid w:val="00060A04"/>
    <w:rsid w:val="00063E16"/>
    <w:rsid w:val="000647C7"/>
    <w:rsid w:val="00070D3D"/>
    <w:rsid w:val="00071A73"/>
    <w:rsid w:val="0007319C"/>
    <w:rsid w:val="00075025"/>
    <w:rsid w:val="00080BC6"/>
    <w:rsid w:val="000817C6"/>
    <w:rsid w:val="00087165"/>
    <w:rsid w:val="00092B3C"/>
    <w:rsid w:val="00093F4E"/>
    <w:rsid w:val="000941E9"/>
    <w:rsid w:val="00097452"/>
    <w:rsid w:val="000B06FE"/>
    <w:rsid w:val="000B3748"/>
    <w:rsid w:val="000B51B2"/>
    <w:rsid w:val="000B5D4E"/>
    <w:rsid w:val="000B5EA1"/>
    <w:rsid w:val="000B6B40"/>
    <w:rsid w:val="000C1C77"/>
    <w:rsid w:val="000C2EB4"/>
    <w:rsid w:val="000C3526"/>
    <w:rsid w:val="000C696E"/>
    <w:rsid w:val="000D0AA4"/>
    <w:rsid w:val="000D245C"/>
    <w:rsid w:val="000D5EB5"/>
    <w:rsid w:val="000E071E"/>
    <w:rsid w:val="000E1FB8"/>
    <w:rsid w:val="000E2713"/>
    <w:rsid w:val="000E3793"/>
    <w:rsid w:val="000E788E"/>
    <w:rsid w:val="000F0D74"/>
    <w:rsid w:val="000F0E64"/>
    <w:rsid w:val="000F16C1"/>
    <w:rsid w:val="000F3695"/>
    <w:rsid w:val="000F3D8F"/>
    <w:rsid w:val="00107B44"/>
    <w:rsid w:val="00112107"/>
    <w:rsid w:val="001123E1"/>
    <w:rsid w:val="00113275"/>
    <w:rsid w:val="00113754"/>
    <w:rsid w:val="00122797"/>
    <w:rsid w:val="00125211"/>
    <w:rsid w:val="00125F4B"/>
    <w:rsid w:val="00134298"/>
    <w:rsid w:val="001347C8"/>
    <w:rsid w:val="00134A41"/>
    <w:rsid w:val="00134D20"/>
    <w:rsid w:val="00134E44"/>
    <w:rsid w:val="00136E63"/>
    <w:rsid w:val="001409CF"/>
    <w:rsid w:val="001412D4"/>
    <w:rsid w:val="00141806"/>
    <w:rsid w:val="00143F7E"/>
    <w:rsid w:val="00146165"/>
    <w:rsid w:val="00151477"/>
    <w:rsid w:val="001540EC"/>
    <w:rsid w:val="00155450"/>
    <w:rsid w:val="001579C2"/>
    <w:rsid w:val="00157EE4"/>
    <w:rsid w:val="001618E8"/>
    <w:rsid w:val="00171731"/>
    <w:rsid w:val="00172557"/>
    <w:rsid w:val="00172C3E"/>
    <w:rsid w:val="00176B24"/>
    <w:rsid w:val="00176D2E"/>
    <w:rsid w:val="00181228"/>
    <w:rsid w:val="00186F7D"/>
    <w:rsid w:val="001A10F3"/>
    <w:rsid w:val="001A3BC5"/>
    <w:rsid w:val="001A40B6"/>
    <w:rsid w:val="001B2371"/>
    <w:rsid w:val="001B4F32"/>
    <w:rsid w:val="001C6A15"/>
    <w:rsid w:val="001C73D9"/>
    <w:rsid w:val="001D22DE"/>
    <w:rsid w:val="001D6B83"/>
    <w:rsid w:val="001D78EE"/>
    <w:rsid w:val="001D7CCC"/>
    <w:rsid w:val="001D7D53"/>
    <w:rsid w:val="001E43F2"/>
    <w:rsid w:val="001E4568"/>
    <w:rsid w:val="001F0B5D"/>
    <w:rsid w:val="001F19B6"/>
    <w:rsid w:val="001F5F1B"/>
    <w:rsid w:val="00200AE9"/>
    <w:rsid w:val="0020627E"/>
    <w:rsid w:val="0021008E"/>
    <w:rsid w:val="00210F1D"/>
    <w:rsid w:val="002159C4"/>
    <w:rsid w:val="0022279E"/>
    <w:rsid w:val="00224D86"/>
    <w:rsid w:val="00226187"/>
    <w:rsid w:val="00227003"/>
    <w:rsid w:val="00227144"/>
    <w:rsid w:val="0023602D"/>
    <w:rsid w:val="0024040D"/>
    <w:rsid w:val="002472BD"/>
    <w:rsid w:val="00247481"/>
    <w:rsid w:val="00247981"/>
    <w:rsid w:val="00247F80"/>
    <w:rsid w:val="00250E03"/>
    <w:rsid w:val="00251597"/>
    <w:rsid w:val="00253668"/>
    <w:rsid w:val="00260700"/>
    <w:rsid w:val="002614C7"/>
    <w:rsid w:val="002652B6"/>
    <w:rsid w:val="0026620A"/>
    <w:rsid w:val="00266297"/>
    <w:rsid w:val="00266D87"/>
    <w:rsid w:val="002671BA"/>
    <w:rsid w:val="00275167"/>
    <w:rsid w:val="00275D7A"/>
    <w:rsid w:val="00281C52"/>
    <w:rsid w:val="00285363"/>
    <w:rsid w:val="00285E81"/>
    <w:rsid w:val="0029402F"/>
    <w:rsid w:val="00295211"/>
    <w:rsid w:val="00295916"/>
    <w:rsid w:val="002972A6"/>
    <w:rsid w:val="002A0556"/>
    <w:rsid w:val="002A2028"/>
    <w:rsid w:val="002A22ED"/>
    <w:rsid w:val="002A3CF5"/>
    <w:rsid w:val="002A3F33"/>
    <w:rsid w:val="002A451B"/>
    <w:rsid w:val="002A7F31"/>
    <w:rsid w:val="002B002F"/>
    <w:rsid w:val="002B4BDF"/>
    <w:rsid w:val="002B4E2B"/>
    <w:rsid w:val="002B6B71"/>
    <w:rsid w:val="002B7EAC"/>
    <w:rsid w:val="002C0C46"/>
    <w:rsid w:val="002C62F0"/>
    <w:rsid w:val="002C6959"/>
    <w:rsid w:val="002D0E10"/>
    <w:rsid w:val="002D2B6C"/>
    <w:rsid w:val="002D300B"/>
    <w:rsid w:val="002D45F5"/>
    <w:rsid w:val="002D60CB"/>
    <w:rsid w:val="002F5D8B"/>
    <w:rsid w:val="003047D3"/>
    <w:rsid w:val="0030611A"/>
    <w:rsid w:val="00307CCC"/>
    <w:rsid w:val="00320AA0"/>
    <w:rsid w:val="00333DCD"/>
    <w:rsid w:val="00334366"/>
    <w:rsid w:val="00337CFE"/>
    <w:rsid w:val="003427C2"/>
    <w:rsid w:val="00343A6F"/>
    <w:rsid w:val="00347D9E"/>
    <w:rsid w:val="00354164"/>
    <w:rsid w:val="003541DD"/>
    <w:rsid w:val="00355DCE"/>
    <w:rsid w:val="00355FF6"/>
    <w:rsid w:val="003563E0"/>
    <w:rsid w:val="0035656D"/>
    <w:rsid w:val="00360C60"/>
    <w:rsid w:val="00360E01"/>
    <w:rsid w:val="003707DD"/>
    <w:rsid w:val="00371665"/>
    <w:rsid w:val="003723C7"/>
    <w:rsid w:val="00376002"/>
    <w:rsid w:val="00377BA7"/>
    <w:rsid w:val="00381F67"/>
    <w:rsid w:val="003830B6"/>
    <w:rsid w:val="00383710"/>
    <w:rsid w:val="00390652"/>
    <w:rsid w:val="003A496E"/>
    <w:rsid w:val="003A6548"/>
    <w:rsid w:val="003B3604"/>
    <w:rsid w:val="003B49BF"/>
    <w:rsid w:val="003B56E9"/>
    <w:rsid w:val="003B7B25"/>
    <w:rsid w:val="003C13CD"/>
    <w:rsid w:val="003C16DA"/>
    <w:rsid w:val="003C1E56"/>
    <w:rsid w:val="003C38BE"/>
    <w:rsid w:val="003C4EBC"/>
    <w:rsid w:val="003C5234"/>
    <w:rsid w:val="003E6AD8"/>
    <w:rsid w:val="003E7587"/>
    <w:rsid w:val="003F1CEE"/>
    <w:rsid w:val="003F491D"/>
    <w:rsid w:val="003F5D05"/>
    <w:rsid w:val="003F5DCC"/>
    <w:rsid w:val="003F7677"/>
    <w:rsid w:val="004001D5"/>
    <w:rsid w:val="0040064A"/>
    <w:rsid w:val="004022E6"/>
    <w:rsid w:val="004035C7"/>
    <w:rsid w:val="004043E6"/>
    <w:rsid w:val="00407627"/>
    <w:rsid w:val="004104E5"/>
    <w:rsid w:val="004111E0"/>
    <w:rsid w:val="00412B48"/>
    <w:rsid w:val="00416CBB"/>
    <w:rsid w:val="00420EF8"/>
    <w:rsid w:val="0042315A"/>
    <w:rsid w:val="00426FC7"/>
    <w:rsid w:val="004308CC"/>
    <w:rsid w:val="00440BCC"/>
    <w:rsid w:val="00450BF7"/>
    <w:rsid w:val="0045272C"/>
    <w:rsid w:val="00454706"/>
    <w:rsid w:val="00455DDC"/>
    <w:rsid w:val="0047202F"/>
    <w:rsid w:val="0047660F"/>
    <w:rsid w:val="00476F4B"/>
    <w:rsid w:val="00476FCB"/>
    <w:rsid w:val="00481CA1"/>
    <w:rsid w:val="00484D2A"/>
    <w:rsid w:val="00490AF1"/>
    <w:rsid w:val="00491BDA"/>
    <w:rsid w:val="00493DF1"/>
    <w:rsid w:val="00494355"/>
    <w:rsid w:val="004976B5"/>
    <w:rsid w:val="004A2173"/>
    <w:rsid w:val="004A4EBE"/>
    <w:rsid w:val="004B3017"/>
    <w:rsid w:val="004B67D7"/>
    <w:rsid w:val="004C130A"/>
    <w:rsid w:val="004C3E18"/>
    <w:rsid w:val="004D1398"/>
    <w:rsid w:val="004D4A68"/>
    <w:rsid w:val="004D579A"/>
    <w:rsid w:val="004D63DE"/>
    <w:rsid w:val="004D6BB0"/>
    <w:rsid w:val="004E21FF"/>
    <w:rsid w:val="004E4331"/>
    <w:rsid w:val="004E4C2C"/>
    <w:rsid w:val="004E737C"/>
    <w:rsid w:val="004F11F3"/>
    <w:rsid w:val="004F26DE"/>
    <w:rsid w:val="004F4B0F"/>
    <w:rsid w:val="004F67F3"/>
    <w:rsid w:val="0050025C"/>
    <w:rsid w:val="00502A60"/>
    <w:rsid w:val="00503925"/>
    <w:rsid w:val="00504B61"/>
    <w:rsid w:val="00506A18"/>
    <w:rsid w:val="00507C1B"/>
    <w:rsid w:val="005133C8"/>
    <w:rsid w:val="00513A82"/>
    <w:rsid w:val="0051545F"/>
    <w:rsid w:val="00517BBE"/>
    <w:rsid w:val="00521720"/>
    <w:rsid w:val="00533164"/>
    <w:rsid w:val="00533D23"/>
    <w:rsid w:val="005341B3"/>
    <w:rsid w:val="00535033"/>
    <w:rsid w:val="005368F6"/>
    <w:rsid w:val="00537F39"/>
    <w:rsid w:val="005404E7"/>
    <w:rsid w:val="0054744A"/>
    <w:rsid w:val="00553FA6"/>
    <w:rsid w:val="00555698"/>
    <w:rsid w:val="00562C85"/>
    <w:rsid w:val="00563958"/>
    <w:rsid w:val="005651A4"/>
    <w:rsid w:val="005719B3"/>
    <w:rsid w:val="00572DF5"/>
    <w:rsid w:val="00574E52"/>
    <w:rsid w:val="0057568D"/>
    <w:rsid w:val="005773B7"/>
    <w:rsid w:val="00582ACE"/>
    <w:rsid w:val="00586D19"/>
    <w:rsid w:val="00591CD9"/>
    <w:rsid w:val="00593D57"/>
    <w:rsid w:val="00595FC9"/>
    <w:rsid w:val="005A40A3"/>
    <w:rsid w:val="005A5DC4"/>
    <w:rsid w:val="005B0DCB"/>
    <w:rsid w:val="005B2E45"/>
    <w:rsid w:val="005B7F21"/>
    <w:rsid w:val="005C04FE"/>
    <w:rsid w:val="005C4806"/>
    <w:rsid w:val="005C559C"/>
    <w:rsid w:val="005C5AE9"/>
    <w:rsid w:val="005C7225"/>
    <w:rsid w:val="005C7DEB"/>
    <w:rsid w:val="005D2C51"/>
    <w:rsid w:val="005E69D1"/>
    <w:rsid w:val="005E6C52"/>
    <w:rsid w:val="005F1306"/>
    <w:rsid w:val="005F4C8E"/>
    <w:rsid w:val="005F72F0"/>
    <w:rsid w:val="005F7A5F"/>
    <w:rsid w:val="005F7DF8"/>
    <w:rsid w:val="0061199D"/>
    <w:rsid w:val="0061636C"/>
    <w:rsid w:val="00630FEF"/>
    <w:rsid w:val="00632007"/>
    <w:rsid w:val="0063211B"/>
    <w:rsid w:val="00633835"/>
    <w:rsid w:val="00635137"/>
    <w:rsid w:val="00635D9D"/>
    <w:rsid w:val="006440C3"/>
    <w:rsid w:val="00646362"/>
    <w:rsid w:val="00655107"/>
    <w:rsid w:val="00664D5F"/>
    <w:rsid w:val="00667A58"/>
    <w:rsid w:val="006701D1"/>
    <w:rsid w:val="00671362"/>
    <w:rsid w:val="00671B1A"/>
    <w:rsid w:val="00673EF5"/>
    <w:rsid w:val="006752C7"/>
    <w:rsid w:val="006812A8"/>
    <w:rsid w:val="00681BEB"/>
    <w:rsid w:val="00681D49"/>
    <w:rsid w:val="00684922"/>
    <w:rsid w:val="00687039"/>
    <w:rsid w:val="00687DFD"/>
    <w:rsid w:val="00691CB1"/>
    <w:rsid w:val="00692135"/>
    <w:rsid w:val="00695D0E"/>
    <w:rsid w:val="006971CC"/>
    <w:rsid w:val="006A035C"/>
    <w:rsid w:val="006A21EA"/>
    <w:rsid w:val="006A2326"/>
    <w:rsid w:val="006A2F1D"/>
    <w:rsid w:val="006A4554"/>
    <w:rsid w:val="006A54AF"/>
    <w:rsid w:val="006A5848"/>
    <w:rsid w:val="006B23A3"/>
    <w:rsid w:val="006B27C4"/>
    <w:rsid w:val="006B31A6"/>
    <w:rsid w:val="006B3F6C"/>
    <w:rsid w:val="006B536E"/>
    <w:rsid w:val="006B607F"/>
    <w:rsid w:val="006B7CD3"/>
    <w:rsid w:val="006C31AA"/>
    <w:rsid w:val="006C5D36"/>
    <w:rsid w:val="006D1A23"/>
    <w:rsid w:val="006D1BDE"/>
    <w:rsid w:val="006D3476"/>
    <w:rsid w:val="006D5E7C"/>
    <w:rsid w:val="006D68BF"/>
    <w:rsid w:val="006D6AF8"/>
    <w:rsid w:val="006E0595"/>
    <w:rsid w:val="006E0DEA"/>
    <w:rsid w:val="006E17B0"/>
    <w:rsid w:val="006E4012"/>
    <w:rsid w:val="006E7341"/>
    <w:rsid w:val="006E7589"/>
    <w:rsid w:val="006E7645"/>
    <w:rsid w:val="006F36C6"/>
    <w:rsid w:val="006F69B7"/>
    <w:rsid w:val="00700B41"/>
    <w:rsid w:val="00701F37"/>
    <w:rsid w:val="00702CBC"/>
    <w:rsid w:val="00704835"/>
    <w:rsid w:val="007055A5"/>
    <w:rsid w:val="00705D04"/>
    <w:rsid w:val="00707157"/>
    <w:rsid w:val="007123F7"/>
    <w:rsid w:val="007126AB"/>
    <w:rsid w:val="007142A8"/>
    <w:rsid w:val="00714C09"/>
    <w:rsid w:val="00716865"/>
    <w:rsid w:val="00721ED4"/>
    <w:rsid w:val="00734A24"/>
    <w:rsid w:val="0074042A"/>
    <w:rsid w:val="00740ABD"/>
    <w:rsid w:val="00744FE7"/>
    <w:rsid w:val="0074510F"/>
    <w:rsid w:val="00745AA7"/>
    <w:rsid w:val="00746046"/>
    <w:rsid w:val="007475E2"/>
    <w:rsid w:val="00752523"/>
    <w:rsid w:val="007548EB"/>
    <w:rsid w:val="00754E15"/>
    <w:rsid w:val="00760C78"/>
    <w:rsid w:val="00760EB6"/>
    <w:rsid w:val="00762462"/>
    <w:rsid w:val="007625F6"/>
    <w:rsid w:val="007634E4"/>
    <w:rsid w:val="00764C31"/>
    <w:rsid w:val="00770017"/>
    <w:rsid w:val="00771FB7"/>
    <w:rsid w:val="00780B91"/>
    <w:rsid w:val="00781CDF"/>
    <w:rsid w:val="0078209F"/>
    <w:rsid w:val="00786F57"/>
    <w:rsid w:val="007A1A32"/>
    <w:rsid w:val="007A3A4C"/>
    <w:rsid w:val="007A3F63"/>
    <w:rsid w:val="007A5351"/>
    <w:rsid w:val="007A6CDA"/>
    <w:rsid w:val="007B0528"/>
    <w:rsid w:val="007B40E3"/>
    <w:rsid w:val="007C3DFF"/>
    <w:rsid w:val="007C464C"/>
    <w:rsid w:val="007D20C8"/>
    <w:rsid w:val="007D488D"/>
    <w:rsid w:val="007E15BC"/>
    <w:rsid w:val="007E381D"/>
    <w:rsid w:val="007E6CE7"/>
    <w:rsid w:val="007F397D"/>
    <w:rsid w:val="007F4056"/>
    <w:rsid w:val="007F62C8"/>
    <w:rsid w:val="00803243"/>
    <w:rsid w:val="00803C98"/>
    <w:rsid w:val="00805308"/>
    <w:rsid w:val="00814471"/>
    <w:rsid w:val="0081475E"/>
    <w:rsid w:val="0081618E"/>
    <w:rsid w:val="008169CE"/>
    <w:rsid w:val="00820B35"/>
    <w:rsid w:val="00824970"/>
    <w:rsid w:val="00831C88"/>
    <w:rsid w:val="00833179"/>
    <w:rsid w:val="00833257"/>
    <w:rsid w:val="00833312"/>
    <w:rsid w:val="00833A95"/>
    <w:rsid w:val="008340F3"/>
    <w:rsid w:val="00834B1A"/>
    <w:rsid w:val="0084424E"/>
    <w:rsid w:val="00846364"/>
    <w:rsid w:val="008470BF"/>
    <w:rsid w:val="008478D1"/>
    <w:rsid w:val="0085721F"/>
    <w:rsid w:val="00871C2C"/>
    <w:rsid w:val="0087468A"/>
    <w:rsid w:val="00874EAC"/>
    <w:rsid w:val="008758C2"/>
    <w:rsid w:val="0087793D"/>
    <w:rsid w:val="00882D85"/>
    <w:rsid w:val="00887E1E"/>
    <w:rsid w:val="00893690"/>
    <w:rsid w:val="0089584F"/>
    <w:rsid w:val="008A197F"/>
    <w:rsid w:val="008A1A1F"/>
    <w:rsid w:val="008A53C0"/>
    <w:rsid w:val="008A591B"/>
    <w:rsid w:val="008A5EF9"/>
    <w:rsid w:val="008A65CA"/>
    <w:rsid w:val="008A7116"/>
    <w:rsid w:val="008B0CEC"/>
    <w:rsid w:val="008B5A79"/>
    <w:rsid w:val="008C16B8"/>
    <w:rsid w:val="008C2203"/>
    <w:rsid w:val="008C3063"/>
    <w:rsid w:val="008C3BE8"/>
    <w:rsid w:val="008D10DA"/>
    <w:rsid w:val="008D1A58"/>
    <w:rsid w:val="008D2B49"/>
    <w:rsid w:val="008D3BB5"/>
    <w:rsid w:val="008D62E3"/>
    <w:rsid w:val="008E3034"/>
    <w:rsid w:val="008E69BD"/>
    <w:rsid w:val="008F7414"/>
    <w:rsid w:val="009042FC"/>
    <w:rsid w:val="0090576F"/>
    <w:rsid w:val="00905B27"/>
    <w:rsid w:val="0090673C"/>
    <w:rsid w:val="00907E91"/>
    <w:rsid w:val="009103D4"/>
    <w:rsid w:val="0092619F"/>
    <w:rsid w:val="00927592"/>
    <w:rsid w:val="009304B9"/>
    <w:rsid w:val="00930F3E"/>
    <w:rsid w:val="00932849"/>
    <w:rsid w:val="00932D28"/>
    <w:rsid w:val="0093369F"/>
    <w:rsid w:val="00933A10"/>
    <w:rsid w:val="00944ECE"/>
    <w:rsid w:val="009615B5"/>
    <w:rsid w:val="009678DF"/>
    <w:rsid w:val="00967B55"/>
    <w:rsid w:val="00967C8A"/>
    <w:rsid w:val="00971A09"/>
    <w:rsid w:val="00971AE5"/>
    <w:rsid w:val="00971B46"/>
    <w:rsid w:val="00971BA8"/>
    <w:rsid w:val="009762F6"/>
    <w:rsid w:val="00976AD8"/>
    <w:rsid w:val="00976B2C"/>
    <w:rsid w:val="0097710E"/>
    <w:rsid w:val="00981BB3"/>
    <w:rsid w:val="00985D7C"/>
    <w:rsid w:val="009871A8"/>
    <w:rsid w:val="00994A61"/>
    <w:rsid w:val="00994AB0"/>
    <w:rsid w:val="0099536F"/>
    <w:rsid w:val="00996CA3"/>
    <w:rsid w:val="009A082B"/>
    <w:rsid w:val="009A269E"/>
    <w:rsid w:val="009B0369"/>
    <w:rsid w:val="009B0A4A"/>
    <w:rsid w:val="009B1840"/>
    <w:rsid w:val="009C3516"/>
    <w:rsid w:val="009C6AA9"/>
    <w:rsid w:val="009D5751"/>
    <w:rsid w:val="009D5DC5"/>
    <w:rsid w:val="009E08A6"/>
    <w:rsid w:val="009E0C40"/>
    <w:rsid w:val="009E1596"/>
    <w:rsid w:val="009E4825"/>
    <w:rsid w:val="009E7C1D"/>
    <w:rsid w:val="009F18F4"/>
    <w:rsid w:val="009F30C7"/>
    <w:rsid w:val="009F366C"/>
    <w:rsid w:val="009F5B17"/>
    <w:rsid w:val="009F5FDE"/>
    <w:rsid w:val="009F7C37"/>
    <w:rsid w:val="00A00548"/>
    <w:rsid w:val="00A02DE8"/>
    <w:rsid w:val="00A031EC"/>
    <w:rsid w:val="00A06753"/>
    <w:rsid w:val="00A10608"/>
    <w:rsid w:val="00A1176C"/>
    <w:rsid w:val="00A13B18"/>
    <w:rsid w:val="00A17340"/>
    <w:rsid w:val="00A22A41"/>
    <w:rsid w:val="00A23AF0"/>
    <w:rsid w:val="00A26002"/>
    <w:rsid w:val="00A30D0E"/>
    <w:rsid w:val="00A31FE9"/>
    <w:rsid w:val="00A32CEF"/>
    <w:rsid w:val="00A3543D"/>
    <w:rsid w:val="00A36839"/>
    <w:rsid w:val="00A37BD1"/>
    <w:rsid w:val="00A411DC"/>
    <w:rsid w:val="00A4371E"/>
    <w:rsid w:val="00A4512E"/>
    <w:rsid w:val="00A51037"/>
    <w:rsid w:val="00A51446"/>
    <w:rsid w:val="00A55451"/>
    <w:rsid w:val="00A56386"/>
    <w:rsid w:val="00A571FA"/>
    <w:rsid w:val="00A60DCE"/>
    <w:rsid w:val="00A61CD6"/>
    <w:rsid w:val="00A64440"/>
    <w:rsid w:val="00A67BEF"/>
    <w:rsid w:val="00A72444"/>
    <w:rsid w:val="00A7397B"/>
    <w:rsid w:val="00A73D1A"/>
    <w:rsid w:val="00A769A2"/>
    <w:rsid w:val="00A77CD2"/>
    <w:rsid w:val="00A82714"/>
    <w:rsid w:val="00A83705"/>
    <w:rsid w:val="00A91A5F"/>
    <w:rsid w:val="00A92AE1"/>
    <w:rsid w:val="00A941BE"/>
    <w:rsid w:val="00A97982"/>
    <w:rsid w:val="00AA4899"/>
    <w:rsid w:val="00AA612B"/>
    <w:rsid w:val="00AB3117"/>
    <w:rsid w:val="00AB4DB5"/>
    <w:rsid w:val="00AB6737"/>
    <w:rsid w:val="00AB718A"/>
    <w:rsid w:val="00AC36D4"/>
    <w:rsid w:val="00AD3FAD"/>
    <w:rsid w:val="00AD45AC"/>
    <w:rsid w:val="00AE1F36"/>
    <w:rsid w:val="00AE3DA6"/>
    <w:rsid w:val="00AF78CF"/>
    <w:rsid w:val="00B011F7"/>
    <w:rsid w:val="00B025FD"/>
    <w:rsid w:val="00B041EF"/>
    <w:rsid w:val="00B073A0"/>
    <w:rsid w:val="00B07637"/>
    <w:rsid w:val="00B1133E"/>
    <w:rsid w:val="00B12CB9"/>
    <w:rsid w:val="00B25E6C"/>
    <w:rsid w:val="00B2728C"/>
    <w:rsid w:val="00B30C7E"/>
    <w:rsid w:val="00B36704"/>
    <w:rsid w:val="00B418BB"/>
    <w:rsid w:val="00B46D30"/>
    <w:rsid w:val="00B47B10"/>
    <w:rsid w:val="00B53D7E"/>
    <w:rsid w:val="00B53FA3"/>
    <w:rsid w:val="00B572D6"/>
    <w:rsid w:val="00B57B3B"/>
    <w:rsid w:val="00B601A3"/>
    <w:rsid w:val="00B60E91"/>
    <w:rsid w:val="00B63819"/>
    <w:rsid w:val="00B70667"/>
    <w:rsid w:val="00B71079"/>
    <w:rsid w:val="00B7613F"/>
    <w:rsid w:val="00B80637"/>
    <w:rsid w:val="00B80B99"/>
    <w:rsid w:val="00B81A6F"/>
    <w:rsid w:val="00B908F9"/>
    <w:rsid w:val="00B91D7C"/>
    <w:rsid w:val="00BA0630"/>
    <w:rsid w:val="00BB13BD"/>
    <w:rsid w:val="00BB72DA"/>
    <w:rsid w:val="00BC084D"/>
    <w:rsid w:val="00BC08A2"/>
    <w:rsid w:val="00BC1258"/>
    <w:rsid w:val="00BC1A51"/>
    <w:rsid w:val="00BC3D43"/>
    <w:rsid w:val="00BD1E90"/>
    <w:rsid w:val="00BD26BF"/>
    <w:rsid w:val="00BD2C4C"/>
    <w:rsid w:val="00BE0F76"/>
    <w:rsid w:val="00BE3AD4"/>
    <w:rsid w:val="00BF47A8"/>
    <w:rsid w:val="00C01FF8"/>
    <w:rsid w:val="00C04108"/>
    <w:rsid w:val="00C06A51"/>
    <w:rsid w:val="00C06C38"/>
    <w:rsid w:val="00C07FCF"/>
    <w:rsid w:val="00C10331"/>
    <w:rsid w:val="00C13CB0"/>
    <w:rsid w:val="00C17C01"/>
    <w:rsid w:val="00C17D18"/>
    <w:rsid w:val="00C209ED"/>
    <w:rsid w:val="00C42493"/>
    <w:rsid w:val="00C44E36"/>
    <w:rsid w:val="00C45B67"/>
    <w:rsid w:val="00C46293"/>
    <w:rsid w:val="00C545C1"/>
    <w:rsid w:val="00C5639B"/>
    <w:rsid w:val="00C625AA"/>
    <w:rsid w:val="00C6510D"/>
    <w:rsid w:val="00C74DD9"/>
    <w:rsid w:val="00C8187D"/>
    <w:rsid w:val="00C81ACD"/>
    <w:rsid w:val="00C83532"/>
    <w:rsid w:val="00C86FDA"/>
    <w:rsid w:val="00C913BC"/>
    <w:rsid w:val="00C93929"/>
    <w:rsid w:val="00C97AC8"/>
    <w:rsid w:val="00CA2AF6"/>
    <w:rsid w:val="00CA325D"/>
    <w:rsid w:val="00CA77AC"/>
    <w:rsid w:val="00CC213A"/>
    <w:rsid w:val="00CC2302"/>
    <w:rsid w:val="00CC2814"/>
    <w:rsid w:val="00CC376D"/>
    <w:rsid w:val="00CD0574"/>
    <w:rsid w:val="00CD0E60"/>
    <w:rsid w:val="00CD142A"/>
    <w:rsid w:val="00CD7369"/>
    <w:rsid w:val="00CE06C2"/>
    <w:rsid w:val="00CE19CD"/>
    <w:rsid w:val="00CE2A02"/>
    <w:rsid w:val="00CE7748"/>
    <w:rsid w:val="00CF2D37"/>
    <w:rsid w:val="00CF5CAB"/>
    <w:rsid w:val="00D11C2A"/>
    <w:rsid w:val="00D13BAA"/>
    <w:rsid w:val="00D20CDE"/>
    <w:rsid w:val="00D25788"/>
    <w:rsid w:val="00D2745E"/>
    <w:rsid w:val="00D327A6"/>
    <w:rsid w:val="00D34B3D"/>
    <w:rsid w:val="00D35CDD"/>
    <w:rsid w:val="00D407FB"/>
    <w:rsid w:val="00D413AF"/>
    <w:rsid w:val="00D47A8D"/>
    <w:rsid w:val="00D51E98"/>
    <w:rsid w:val="00D5392E"/>
    <w:rsid w:val="00D57963"/>
    <w:rsid w:val="00D62495"/>
    <w:rsid w:val="00D639EB"/>
    <w:rsid w:val="00D654E3"/>
    <w:rsid w:val="00D71BA1"/>
    <w:rsid w:val="00D731CF"/>
    <w:rsid w:val="00D732D5"/>
    <w:rsid w:val="00D7363A"/>
    <w:rsid w:val="00D748DE"/>
    <w:rsid w:val="00D75E51"/>
    <w:rsid w:val="00D83975"/>
    <w:rsid w:val="00D849F4"/>
    <w:rsid w:val="00D86251"/>
    <w:rsid w:val="00D8739D"/>
    <w:rsid w:val="00D876A7"/>
    <w:rsid w:val="00D91E5B"/>
    <w:rsid w:val="00D95D54"/>
    <w:rsid w:val="00D9754D"/>
    <w:rsid w:val="00D978AA"/>
    <w:rsid w:val="00DA1159"/>
    <w:rsid w:val="00DA24EE"/>
    <w:rsid w:val="00DA3FB4"/>
    <w:rsid w:val="00DA7874"/>
    <w:rsid w:val="00DB0172"/>
    <w:rsid w:val="00DB0CD9"/>
    <w:rsid w:val="00DB2D11"/>
    <w:rsid w:val="00DB4ECA"/>
    <w:rsid w:val="00DC035D"/>
    <w:rsid w:val="00DC3BDC"/>
    <w:rsid w:val="00DC3E87"/>
    <w:rsid w:val="00DC797B"/>
    <w:rsid w:val="00DD1952"/>
    <w:rsid w:val="00DE355C"/>
    <w:rsid w:val="00DF06F9"/>
    <w:rsid w:val="00E0611B"/>
    <w:rsid w:val="00E12282"/>
    <w:rsid w:val="00E14717"/>
    <w:rsid w:val="00E148D1"/>
    <w:rsid w:val="00E15BAF"/>
    <w:rsid w:val="00E16083"/>
    <w:rsid w:val="00E2204B"/>
    <w:rsid w:val="00E23035"/>
    <w:rsid w:val="00E23144"/>
    <w:rsid w:val="00E31F7F"/>
    <w:rsid w:val="00E33468"/>
    <w:rsid w:val="00E3522A"/>
    <w:rsid w:val="00E36192"/>
    <w:rsid w:val="00E369F9"/>
    <w:rsid w:val="00E37D0A"/>
    <w:rsid w:val="00E4320F"/>
    <w:rsid w:val="00E45E14"/>
    <w:rsid w:val="00E50340"/>
    <w:rsid w:val="00E50B1D"/>
    <w:rsid w:val="00E53016"/>
    <w:rsid w:val="00E5424B"/>
    <w:rsid w:val="00E54ADA"/>
    <w:rsid w:val="00E616F6"/>
    <w:rsid w:val="00E61942"/>
    <w:rsid w:val="00E6324E"/>
    <w:rsid w:val="00E74549"/>
    <w:rsid w:val="00E75148"/>
    <w:rsid w:val="00E75703"/>
    <w:rsid w:val="00E7761B"/>
    <w:rsid w:val="00E91E35"/>
    <w:rsid w:val="00EA3BF1"/>
    <w:rsid w:val="00EA5C8A"/>
    <w:rsid w:val="00EB4FF9"/>
    <w:rsid w:val="00EB6E97"/>
    <w:rsid w:val="00EC38AF"/>
    <w:rsid w:val="00EC70F5"/>
    <w:rsid w:val="00ED0989"/>
    <w:rsid w:val="00ED1D37"/>
    <w:rsid w:val="00ED30EB"/>
    <w:rsid w:val="00ED3838"/>
    <w:rsid w:val="00ED4461"/>
    <w:rsid w:val="00ED5EFB"/>
    <w:rsid w:val="00EE0CDA"/>
    <w:rsid w:val="00EE10E6"/>
    <w:rsid w:val="00EE2FB3"/>
    <w:rsid w:val="00EE52B7"/>
    <w:rsid w:val="00EE78D9"/>
    <w:rsid w:val="00EF6CB7"/>
    <w:rsid w:val="00F03667"/>
    <w:rsid w:val="00F05D6D"/>
    <w:rsid w:val="00F062AE"/>
    <w:rsid w:val="00F1163B"/>
    <w:rsid w:val="00F1306B"/>
    <w:rsid w:val="00F13304"/>
    <w:rsid w:val="00F160DF"/>
    <w:rsid w:val="00F16A7F"/>
    <w:rsid w:val="00F171CE"/>
    <w:rsid w:val="00F2214D"/>
    <w:rsid w:val="00F2398E"/>
    <w:rsid w:val="00F26690"/>
    <w:rsid w:val="00F304D4"/>
    <w:rsid w:val="00F31BD3"/>
    <w:rsid w:val="00F32640"/>
    <w:rsid w:val="00F44D92"/>
    <w:rsid w:val="00F46FCA"/>
    <w:rsid w:val="00F47C79"/>
    <w:rsid w:val="00F47EDC"/>
    <w:rsid w:val="00F53385"/>
    <w:rsid w:val="00F57CB1"/>
    <w:rsid w:val="00F57F03"/>
    <w:rsid w:val="00F60732"/>
    <w:rsid w:val="00F60F54"/>
    <w:rsid w:val="00F61AD1"/>
    <w:rsid w:val="00F64CC9"/>
    <w:rsid w:val="00F6591B"/>
    <w:rsid w:val="00F666FC"/>
    <w:rsid w:val="00F67194"/>
    <w:rsid w:val="00F73365"/>
    <w:rsid w:val="00F825B1"/>
    <w:rsid w:val="00F827D6"/>
    <w:rsid w:val="00F8789F"/>
    <w:rsid w:val="00F91CA8"/>
    <w:rsid w:val="00F951EF"/>
    <w:rsid w:val="00F95F84"/>
    <w:rsid w:val="00F96F3A"/>
    <w:rsid w:val="00FA1B3B"/>
    <w:rsid w:val="00FA5AC4"/>
    <w:rsid w:val="00FA7023"/>
    <w:rsid w:val="00FB0636"/>
    <w:rsid w:val="00FB4249"/>
    <w:rsid w:val="00FB4453"/>
    <w:rsid w:val="00FC0C0C"/>
    <w:rsid w:val="00FC2EED"/>
    <w:rsid w:val="00FC6BCB"/>
    <w:rsid w:val="00FD3179"/>
    <w:rsid w:val="00FD35E8"/>
    <w:rsid w:val="00FD6170"/>
    <w:rsid w:val="00FD7074"/>
    <w:rsid w:val="00FE0776"/>
    <w:rsid w:val="00FE0861"/>
    <w:rsid w:val="00FE3716"/>
    <w:rsid w:val="00FE77D0"/>
    <w:rsid w:val="00FF5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A8A78"/>
  <w15:docId w15:val="{75BF9CCA-F423-40A5-BBE1-CD5EE0B5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4FE7"/>
    <w:pPr>
      <w:spacing w:after="0" w:line="240" w:lineRule="auto"/>
    </w:pPr>
    <w:rPr>
      <w:rFonts w:ascii="Times New Roman" w:eastAsia="Times New Roman" w:hAnsi="Times New Roman" w:cs="Times New Roman"/>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
    <w:basedOn w:val="Normalny"/>
    <w:link w:val="NagwekZnak"/>
    <w:uiPriority w:val="99"/>
    <w:rsid w:val="002B4BDF"/>
    <w:pPr>
      <w:tabs>
        <w:tab w:val="center" w:pos="4536"/>
        <w:tab w:val="right" w:pos="9072"/>
      </w:tabs>
    </w:pPr>
    <w:rPr>
      <w:szCs w:val="20"/>
    </w:rPr>
  </w:style>
  <w:style w:type="character" w:customStyle="1" w:styleId="NagwekZnak">
    <w:name w:val="Nagłówek Znak"/>
    <w:aliases w:val="h Znak"/>
    <w:basedOn w:val="Domylnaczcionkaakapitu"/>
    <w:link w:val="Nagwek"/>
    <w:uiPriority w:val="99"/>
    <w:rsid w:val="002B4BDF"/>
    <w:rPr>
      <w:rFonts w:ascii="Times New Roman" w:eastAsia="Times New Roman" w:hAnsi="Times New Roman" w:cs="Times New Roman"/>
      <w:bCs/>
      <w:sz w:val="24"/>
      <w:szCs w:val="20"/>
      <w:lang w:eastAsia="pl-PL"/>
    </w:rPr>
  </w:style>
  <w:style w:type="paragraph" w:styleId="Stopka">
    <w:name w:val="footer"/>
    <w:basedOn w:val="Normalny"/>
    <w:link w:val="StopkaZnak"/>
    <w:rsid w:val="002B4BDF"/>
    <w:pPr>
      <w:tabs>
        <w:tab w:val="center" w:pos="4536"/>
        <w:tab w:val="right" w:pos="9072"/>
      </w:tabs>
    </w:pPr>
  </w:style>
  <w:style w:type="character" w:customStyle="1" w:styleId="StopkaZnak">
    <w:name w:val="Stopka Znak"/>
    <w:basedOn w:val="Domylnaczcionkaakapitu"/>
    <w:link w:val="Stopka"/>
    <w:rsid w:val="002B4BDF"/>
    <w:rPr>
      <w:rFonts w:ascii="Times New Roman" w:eastAsia="Times New Roman" w:hAnsi="Times New Roman" w:cs="Times New Roman"/>
      <w:bCs/>
      <w:sz w:val="24"/>
      <w:szCs w:val="24"/>
      <w:lang w:eastAsia="pl-PL"/>
    </w:rPr>
  </w:style>
  <w:style w:type="character" w:styleId="Numerstrony">
    <w:name w:val="page number"/>
    <w:basedOn w:val="Domylnaczcionkaakapitu"/>
    <w:rsid w:val="002B4BDF"/>
  </w:style>
  <w:style w:type="paragraph" w:styleId="Akapitzlist">
    <w:name w:val="List Paragraph"/>
    <w:aliases w:val="Dot pt,F5 List Paragraph,Recommendation,Kolorowa lista — akcent 11,Numerowanie,Akapit z listą11,Numbered Para 1,No Spacing1,List Paragraph Char Char Char,Indicator Text,2,3,List Paragraph1,List Paragraph11,List Paragraph,Akapit z listą1"/>
    <w:basedOn w:val="Normalny"/>
    <w:link w:val="AkapitzlistZnak"/>
    <w:uiPriority w:val="34"/>
    <w:qFormat/>
    <w:rsid w:val="002B4BDF"/>
    <w:pPr>
      <w:ind w:left="720"/>
      <w:contextualSpacing/>
    </w:pPr>
  </w:style>
  <w:style w:type="table" w:styleId="Tabela-Siatka">
    <w:name w:val="Table Grid"/>
    <w:basedOn w:val="Standardowy"/>
    <w:uiPriority w:val="99"/>
    <w:rsid w:val="002B4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Normalny"/>
    <w:uiPriority w:val="99"/>
    <w:rsid w:val="00535033"/>
    <w:pPr>
      <w:widowControl w:val="0"/>
      <w:autoSpaceDE w:val="0"/>
      <w:autoSpaceDN w:val="0"/>
      <w:adjustRightInd w:val="0"/>
      <w:spacing w:line="278" w:lineRule="exact"/>
      <w:jc w:val="both"/>
    </w:pPr>
    <w:rPr>
      <w:rFonts w:ascii="Impact" w:eastAsiaTheme="minorEastAsia" w:hAnsi="Impact" w:cstheme="minorBidi"/>
      <w:bCs w:val="0"/>
    </w:rPr>
  </w:style>
  <w:style w:type="paragraph" w:customStyle="1" w:styleId="Style11">
    <w:name w:val="Style11"/>
    <w:basedOn w:val="Normalny"/>
    <w:uiPriority w:val="99"/>
    <w:rsid w:val="00535033"/>
    <w:pPr>
      <w:widowControl w:val="0"/>
      <w:autoSpaceDE w:val="0"/>
      <w:autoSpaceDN w:val="0"/>
      <w:adjustRightInd w:val="0"/>
      <w:spacing w:line="298" w:lineRule="exact"/>
      <w:ind w:hanging="413"/>
      <w:jc w:val="both"/>
    </w:pPr>
    <w:rPr>
      <w:rFonts w:ascii="Impact" w:eastAsiaTheme="minorEastAsia" w:hAnsi="Impact" w:cstheme="minorBidi"/>
      <w:bCs w:val="0"/>
    </w:rPr>
  </w:style>
  <w:style w:type="character" w:customStyle="1" w:styleId="FontStyle19">
    <w:name w:val="Font Style19"/>
    <w:basedOn w:val="Domylnaczcionkaakapitu"/>
    <w:uiPriority w:val="99"/>
    <w:rsid w:val="00535033"/>
    <w:rPr>
      <w:rFonts w:ascii="Times New Roman" w:hAnsi="Times New Roman" w:cs="Times New Roman"/>
      <w:spacing w:val="-10"/>
      <w:sz w:val="22"/>
      <w:szCs w:val="22"/>
    </w:rPr>
  </w:style>
  <w:style w:type="character" w:customStyle="1" w:styleId="FontStyle22">
    <w:name w:val="Font Style22"/>
    <w:basedOn w:val="Domylnaczcionkaakapitu"/>
    <w:uiPriority w:val="99"/>
    <w:rsid w:val="00535033"/>
    <w:rPr>
      <w:rFonts w:ascii="Times New Roman" w:hAnsi="Times New Roman" w:cs="Times New Roman"/>
      <w:sz w:val="24"/>
      <w:szCs w:val="24"/>
    </w:rPr>
  </w:style>
  <w:style w:type="paragraph" w:customStyle="1" w:styleId="Style8">
    <w:name w:val="Style8"/>
    <w:basedOn w:val="Normalny"/>
    <w:uiPriority w:val="99"/>
    <w:rsid w:val="00535033"/>
    <w:pPr>
      <w:widowControl w:val="0"/>
      <w:autoSpaceDE w:val="0"/>
      <w:autoSpaceDN w:val="0"/>
      <w:adjustRightInd w:val="0"/>
    </w:pPr>
    <w:rPr>
      <w:rFonts w:ascii="Impact" w:eastAsiaTheme="minorEastAsia" w:hAnsi="Impact" w:cstheme="minorBidi"/>
      <w:bCs w:val="0"/>
    </w:rPr>
  </w:style>
  <w:style w:type="character" w:customStyle="1" w:styleId="FontStyle23">
    <w:name w:val="Font Style23"/>
    <w:basedOn w:val="Domylnaczcionkaakapitu"/>
    <w:uiPriority w:val="99"/>
    <w:rsid w:val="00535033"/>
    <w:rPr>
      <w:rFonts w:ascii="Times New Roman" w:hAnsi="Times New Roman" w:cs="Times New Roman"/>
      <w:i/>
      <w:iCs/>
      <w:spacing w:val="-10"/>
      <w:sz w:val="24"/>
      <w:szCs w:val="24"/>
    </w:rPr>
  </w:style>
  <w:style w:type="paragraph" w:customStyle="1" w:styleId="Style4">
    <w:name w:val="Style4"/>
    <w:basedOn w:val="Normalny"/>
    <w:uiPriority w:val="99"/>
    <w:rsid w:val="000C3526"/>
    <w:pPr>
      <w:widowControl w:val="0"/>
      <w:autoSpaceDE w:val="0"/>
      <w:autoSpaceDN w:val="0"/>
      <w:adjustRightInd w:val="0"/>
      <w:spacing w:line="278" w:lineRule="exact"/>
      <w:jc w:val="both"/>
    </w:pPr>
    <w:rPr>
      <w:rFonts w:ascii="Calibri" w:eastAsiaTheme="minorEastAsia" w:hAnsi="Calibri" w:cstheme="minorBidi"/>
      <w:bCs w:val="0"/>
    </w:rPr>
  </w:style>
  <w:style w:type="paragraph" w:customStyle="1" w:styleId="Style6">
    <w:name w:val="Style6"/>
    <w:basedOn w:val="Normalny"/>
    <w:uiPriority w:val="99"/>
    <w:rsid w:val="000C3526"/>
    <w:pPr>
      <w:widowControl w:val="0"/>
      <w:autoSpaceDE w:val="0"/>
      <w:autoSpaceDN w:val="0"/>
      <w:adjustRightInd w:val="0"/>
      <w:spacing w:line="283" w:lineRule="exact"/>
      <w:jc w:val="both"/>
    </w:pPr>
    <w:rPr>
      <w:rFonts w:ascii="Calibri" w:eastAsiaTheme="minorEastAsia" w:hAnsi="Calibri" w:cstheme="minorBidi"/>
      <w:bCs w:val="0"/>
    </w:rPr>
  </w:style>
  <w:style w:type="character" w:customStyle="1" w:styleId="FontStyle17">
    <w:name w:val="Font Style17"/>
    <w:basedOn w:val="Domylnaczcionkaakapitu"/>
    <w:uiPriority w:val="99"/>
    <w:rsid w:val="000C3526"/>
    <w:rPr>
      <w:rFonts w:ascii="Calibri" w:hAnsi="Calibri" w:cs="Calibri"/>
      <w:b/>
      <w:bCs/>
      <w:sz w:val="22"/>
      <w:szCs w:val="22"/>
    </w:rPr>
  </w:style>
  <w:style w:type="character" w:customStyle="1" w:styleId="FontStyle20">
    <w:name w:val="Font Style20"/>
    <w:basedOn w:val="Domylnaczcionkaakapitu"/>
    <w:uiPriority w:val="99"/>
    <w:rsid w:val="000C3526"/>
    <w:rPr>
      <w:rFonts w:ascii="Georgia" w:hAnsi="Georgia" w:cs="Georgia"/>
      <w:b/>
      <w:bCs/>
      <w:sz w:val="18"/>
      <w:szCs w:val="18"/>
    </w:rPr>
  </w:style>
  <w:style w:type="paragraph" w:customStyle="1" w:styleId="Style9">
    <w:name w:val="Style9"/>
    <w:basedOn w:val="Normalny"/>
    <w:uiPriority w:val="99"/>
    <w:rsid w:val="00F44D92"/>
    <w:pPr>
      <w:widowControl w:val="0"/>
      <w:autoSpaceDE w:val="0"/>
      <w:autoSpaceDN w:val="0"/>
      <w:adjustRightInd w:val="0"/>
      <w:jc w:val="both"/>
    </w:pPr>
    <w:rPr>
      <w:rFonts w:ascii="MS Reference Sans Serif" w:eastAsiaTheme="minorEastAsia" w:hAnsi="MS Reference Sans Serif" w:cstheme="minorBidi"/>
      <w:bCs w:val="0"/>
    </w:rPr>
  </w:style>
  <w:style w:type="paragraph" w:customStyle="1" w:styleId="Style13">
    <w:name w:val="Style13"/>
    <w:basedOn w:val="Normalny"/>
    <w:uiPriority w:val="99"/>
    <w:rsid w:val="00F44D92"/>
    <w:pPr>
      <w:widowControl w:val="0"/>
      <w:autoSpaceDE w:val="0"/>
      <w:autoSpaceDN w:val="0"/>
      <w:adjustRightInd w:val="0"/>
      <w:spacing w:line="367" w:lineRule="exact"/>
    </w:pPr>
    <w:rPr>
      <w:rFonts w:ascii="MS Reference Sans Serif" w:eastAsiaTheme="minorEastAsia" w:hAnsi="MS Reference Sans Serif" w:cstheme="minorBidi"/>
      <w:bCs w:val="0"/>
    </w:rPr>
  </w:style>
  <w:style w:type="character" w:customStyle="1" w:styleId="FontStyle28">
    <w:name w:val="Font Style28"/>
    <w:basedOn w:val="Domylnaczcionkaakapitu"/>
    <w:uiPriority w:val="99"/>
    <w:rsid w:val="00F44D92"/>
    <w:rPr>
      <w:rFonts w:ascii="Arial" w:hAnsi="Arial" w:cs="Arial"/>
      <w:sz w:val="22"/>
      <w:szCs w:val="22"/>
    </w:rPr>
  </w:style>
  <w:style w:type="character" w:styleId="Odwoaniedokomentarza">
    <w:name w:val="annotation reference"/>
    <w:basedOn w:val="Domylnaczcionkaakapitu"/>
    <w:uiPriority w:val="99"/>
    <w:semiHidden/>
    <w:unhideWhenUsed/>
    <w:rsid w:val="00493DF1"/>
    <w:rPr>
      <w:sz w:val="16"/>
      <w:szCs w:val="16"/>
    </w:rPr>
  </w:style>
  <w:style w:type="paragraph" w:styleId="Tekstkomentarza">
    <w:name w:val="annotation text"/>
    <w:basedOn w:val="Normalny"/>
    <w:link w:val="TekstkomentarzaZnak"/>
    <w:uiPriority w:val="99"/>
    <w:semiHidden/>
    <w:unhideWhenUsed/>
    <w:rsid w:val="00493DF1"/>
    <w:rPr>
      <w:sz w:val="20"/>
      <w:szCs w:val="20"/>
    </w:rPr>
  </w:style>
  <w:style w:type="character" w:customStyle="1" w:styleId="TekstkomentarzaZnak">
    <w:name w:val="Tekst komentarza Znak"/>
    <w:basedOn w:val="Domylnaczcionkaakapitu"/>
    <w:link w:val="Tekstkomentarza"/>
    <w:uiPriority w:val="99"/>
    <w:semiHidden/>
    <w:rsid w:val="00493DF1"/>
    <w:rPr>
      <w:rFonts w:ascii="Times New Roman" w:eastAsia="Times New Roman" w:hAnsi="Times New Roman" w:cs="Times New Roman"/>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493DF1"/>
    <w:rPr>
      <w:b/>
    </w:rPr>
  </w:style>
  <w:style w:type="character" w:customStyle="1" w:styleId="TematkomentarzaZnak">
    <w:name w:val="Temat komentarza Znak"/>
    <w:basedOn w:val="TekstkomentarzaZnak"/>
    <w:link w:val="Tematkomentarza"/>
    <w:uiPriority w:val="99"/>
    <w:semiHidden/>
    <w:rsid w:val="00493DF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3DF1"/>
    <w:rPr>
      <w:rFonts w:ascii="Tahoma" w:hAnsi="Tahoma" w:cs="Tahoma"/>
      <w:sz w:val="16"/>
      <w:szCs w:val="16"/>
    </w:rPr>
  </w:style>
  <w:style w:type="character" w:customStyle="1" w:styleId="TekstdymkaZnak">
    <w:name w:val="Tekst dymka Znak"/>
    <w:basedOn w:val="Domylnaczcionkaakapitu"/>
    <w:link w:val="Tekstdymka"/>
    <w:uiPriority w:val="99"/>
    <w:semiHidden/>
    <w:rsid w:val="00493DF1"/>
    <w:rPr>
      <w:rFonts w:ascii="Tahoma" w:eastAsia="Times New Roman" w:hAnsi="Tahoma" w:cs="Tahoma"/>
      <w:bCs/>
      <w:sz w:val="16"/>
      <w:szCs w:val="16"/>
      <w:lang w:eastAsia="pl-PL"/>
    </w:rPr>
  </w:style>
  <w:style w:type="paragraph" w:customStyle="1" w:styleId="c75debutdesmotifs">
    <w:name w:val="c75debutdesmotifs"/>
    <w:basedOn w:val="Normalny"/>
    <w:rsid w:val="00BC1A51"/>
    <w:pPr>
      <w:spacing w:before="480" w:after="480"/>
      <w:ind w:left="567"/>
      <w:jc w:val="center"/>
    </w:pPr>
    <w:rPr>
      <w:b/>
    </w:rPr>
  </w:style>
  <w:style w:type="paragraph" w:styleId="Tekstprzypisudolnego">
    <w:name w:val="footnote text"/>
    <w:basedOn w:val="Normalny"/>
    <w:link w:val="TekstprzypisudolnegoZnak"/>
    <w:uiPriority w:val="99"/>
    <w:unhideWhenUsed/>
    <w:rsid w:val="00E50340"/>
    <w:rPr>
      <w:sz w:val="20"/>
      <w:szCs w:val="20"/>
    </w:rPr>
  </w:style>
  <w:style w:type="character" w:customStyle="1" w:styleId="TekstprzypisudolnegoZnak">
    <w:name w:val="Tekst przypisu dolnego Znak"/>
    <w:basedOn w:val="Domylnaczcionkaakapitu"/>
    <w:link w:val="Tekstprzypisudolnego"/>
    <w:uiPriority w:val="99"/>
    <w:rsid w:val="00E50340"/>
    <w:rPr>
      <w:rFonts w:ascii="Times New Roman" w:eastAsia="Times New Roman" w:hAnsi="Times New Roman" w:cs="Times New Roman"/>
      <w:bCs/>
      <w:sz w:val="20"/>
      <w:szCs w:val="20"/>
      <w:lang w:eastAsia="pl-PL"/>
    </w:rPr>
  </w:style>
  <w:style w:type="character" w:styleId="Odwoanieprzypisudolnego">
    <w:name w:val="footnote reference"/>
    <w:basedOn w:val="Domylnaczcionkaakapitu"/>
    <w:uiPriority w:val="99"/>
    <w:semiHidden/>
    <w:unhideWhenUsed/>
    <w:rsid w:val="00E50340"/>
    <w:rPr>
      <w:vertAlign w:val="superscript"/>
    </w:rPr>
  </w:style>
  <w:style w:type="paragraph" w:customStyle="1" w:styleId="ZFRAGzmfragmentunpzdaniaartykuempunktem">
    <w:name w:val="Z/FRAG – zm. fragmentu (np. zdania) artykułem (punktem)"/>
    <w:basedOn w:val="Normalny"/>
    <w:next w:val="Normalny"/>
    <w:uiPriority w:val="36"/>
    <w:qFormat/>
    <w:rsid w:val="001C6A15"/>
    <w:pPr>
      <w:suppressAutoHyphens/>
      <w:autoSpaceDE w:val="0"/>
      <w:autoSpaceDN w:val="0"/>
      <w:adjustRightInd w:val="0"/>
      <w:spacing w:line="360" w:lineRule="auto"/>
      <w:ind w:left="510"/>
      <w:jc w:val="both"/>
    </w:pPr>
    <w:rPr>
      <w:rFonts w:eastAsiaTheme="minorEastAsia" w:cs="Arial"/>
      <w:bCs w:val="0"/>
      <w:szCs w:val="20"/>
    </w:rPr>
  </w:style>
  <w:style w:type="paragraph" w:customStyle="1" w:styleId="ZARTzmartartykuempunktem">
    <w:name w:val="Z/ART(§) – zm. art. (§) artykułem (punktem)"/>
    <w:basedOn w:val="Normalny"/>
    <w:uiPriority w:val="30"/>
    <w:qFormat/>
    <w:rsid w:val="00BA0630"/>
    <w:pPr>
      <w:suppressAutoHyphens/>
      <w:autoSpaceDE w:val="0"/>
      <w:autoSpaceDN w:val="0"/>
      <w:adjustRightInd w:val="0"/>
      <w:spacing w:line="360" w:lineRule="auto"/>
      <w:ind w:left="510" w:firstLine="510"/>
      <w:jc w:val="both"/>
    </w:pPr>
    <w:rPr>
      <w:rFonts w:ascii="Times" w:eastAsiaTheme="minorEastAsia" w:hAnsi="Times" w:cs="Arial"/>
      <w:bCs w:val="0"/>
      <w:szCs w:val="20"/>
    </w:rPr>
  </w:style>
  <w:style w:type="paragraph" w:customStyle="1" w:styleId="PKTpunkt">
    <w:name w:val="PKT – punkt"/>
    <w:uiPriority w:val="13"/>
    <w:qFormat/>
    <w:rsid w:val="00BA0630"/>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ZARTzmartartykuempunktem"/>
    <w:uiPriority w:val="30"/>
    <w:qFormat/>
    <w:rsid w:val="00BA0630"/>
  </w:style>
  <w:style w:type="character" w:customStyle="1" w:styleId="Teksttreci">
    <w:name w:val="Tekst treści_"/>
    <w:basedOn w:val="Domylnaczcionkaakapitu"/>
    <w:link w:val="Teksttreci0"/>
    <w:rsid w:val="00040C66"/>
    <w:rPr>
      <w:rFonts w:ascii="Calibri" w:eastAsia="Calibri" w:hAnsi="Calibri" w:cs="Calibri"/>
      <w:sz w:val="20"/>
      <w:szCs w:val="20"/>
      <w:shd w:val="clear" w:color="auto" w:fill="FFFFFF"/>
    </w:rPr>
  </w:style>
  <w:style w:type="paragraph" w:customStyle="1" w:styleId="Teksttreci0">
    <w:name w:val="Tekst treści"/>
    <w:basedOn w:val="Normalny"/>
    <w:link w:val="Teksttreci"/>
    <w:rsid w:val="00040C66"/>
    <w:pPr>
      <w:widowControl w:val="0"/>
      <w:shd w:val="clear" w:color="auto" w:fill="FFFFFF"/>
      <w:spacing w:after="120" w:line="266" w:lineRule="auto"/>
      <w:jc w:val="both"/>
    </w:pPr>
    <w:rPr>
      <w:rFonts w:ascii="Calibri" w:eastAsia="Calibri" w:hAnsi="Calibri" w:cs="Calibri"/>
      <w:bCs w:val="0"/>
      <w:sz w:val="20"/>
      <w:szCs w:val="20"/>
      <w:lang w:eastAsia="en-US"/>
    </w:rPr>
  </w:style>
  <w:style w:type="character" w:customStyle="1" w:styleId="Nagweklubstopka2">
    <w:name w:val="Nagłówek lub stopka (2)_"/>
    <w:basedOn w:val="Domylnaczcionkaakapitu"/>
    <w:link w:val="Nagweklubstopka20"/>
    <w:rsid w:val="00040C66"/>
    <w:rPr>
      <w:rFonts w:ascii="Times New Roman" w:eastAsia="Times New Roman" w:hAnsi="Times New Roman" w:cs="Times New Roman"/>
      <w:sz w:val="20"/>
      <w:szCs w:val="20"/>
      <w:shd w:val="clear" w:color="auto" w:fill="FFFFFF"/>
    </w:rPr>
  </w:style>
  <w:style w:type="paragraph" w:customStyle="1" w:styleId="Nagweklubstopka20">
    <w:name w:val="Nagłówek lub stopka (2)"/>
    <w:basedOn w:val="Normalny"/>
    <w:link w:val="Nagweklubstopka2"/>
    <w:rsid w:val="00040C66"/>
    <w:pPr>
      <w:widowControl w:val="0"/>
      <w:shd w:val="clear" w:color="auto" w:fill="FFFFFF"/>
    </w:pPr>
    <w:rPr>
      <w:bCs w:val="0"/>
      <w:sz w:val="20"/>
      <w:szCs w:val="20"/>
      <w:lang w:eastAsia="en-US"/>
    </w:rPr>
  </w:style>
  <w:style w:type="paragraph" w:styleId="Tekstprzypisukocowego">
    <w:name w:val="endnote text"/>
    <w:basedOn w:val="Normalny"/>
    <w:link w:val="TekstprzypisukocowegoZnak"/>
    <w:uiPriority w:val="99"/>
    <w:semiHidden/>
    <w:unhideWhenUsed/>
    <w:rsid w:val="00B073A0"/>
    <w:rPr>
      <w:sz w:val="20"/>
      <w:szCs w:val="20"/>
    </w:rPr>
  </w:style>
  <w:style w:type="character" w:customStyle="1" w:styleId="TekstprzypisukocowegoZnak">
    <w:name w:val="Tekst przypisu końcowego Znak"/>
    <w:basedOn w:val="Domylnaczcionkaakapitu"/>
    <w:link w:val="Tekstprzypisukocowego"/>
    <w:uiPriority w:val="99"/>
    <w:semiHidden/>
    <w:rsid w:val="00B073A0"/>
    <w:rPr>
      <w:rFonts w:ascii="Times New Roman" w:eastAsia="Times New Roman" w:hAnsi="Times New Roman" w:cs="Times New Roman"/>
      <w:bCs/>
      <w:sz w:val="20"/>
      <w:szCs w:val="20"/>
      <w:lang w:eastAsia="pl-PL"/>
    </w:rPr>
  </w:style>
  <w:style w:type="character" w:styleId="Odwoanieprzypisukocowego">
    <w:name w:val="endnote reference"/>
    <w:basedOn w:val="Domylnaczcionkaakapitu"/>
    <w:uiPriority w:val="99"/>
    <w:semiHidden/>
    <w:unhideWhenUsed/>
    <w:rsid w:val="00B073A0"/>
    <w:rPr>
      <w:vertAlign w:val="superscript"/>
    </w:rPr>
  </w:style>
  <w:style w:type="character" w:styleId="Hipercze">
    <w:name w:val="Hyperlink"/>
    <w:basedOn w:val="Domylnaczcionkaakapitu"/>
    <w:uiPriority w:val="99"/>
    <w:unhideWhenUsed/>
    <w:rsid w:val="00F1163B"/>
    <w:rPr>
      <w:color w:val="0000FF" w:themeColor="hyperlink"/>
      <w:u w:val="single"/>
    </w:rPr>
  </w:style>
  <w:style w:type="character" w:customStyle="1" w:styleId="AkapitzlistZnak">
    <w:name w:val="Akapit z listą Znak"/>
    <w:aliases w:val="Dot pt Znak,F5 List Paragraph Znak,Recommendation Znak,Kolorowa lista — akcent 11 Znak,Numerowanie Znak,Akapit z listą11 Znak,Numbered Para 1 Znak,No Spacing1 Znak,List Paragraph Char Char Char Znak,Indicator Text Znak,2 Znak,3 Znak"/>
    <w:link w:val="Akapitzlist"/>
    <w:uiPriority w:val="34"/>
    <w:qFormat/>
    <w:locked/>
    <w:rsid w:val="00EE78D9"/>
    <w:rPr>
      <w:rFonts w:ascii="Times New Roman" w:eastAsia="Times New Roman" w:hAnsi="Times New Roman" w:cs="Times New Roman"/>
      <w:bCs/>
      <w:sz w:val="24"/>
      <w:szCs w:val="24"/>
      <w:lang w:eastAsia="pl-PL"/>
    </w:rPr>
  </w:style>
  <w:style w:type="table" w:customStyle="1" w:styleId="Tabela-Siatka1">
    <w:name w:val="Tabela - Siatka1"/>
    <w:basedOn w:val="Standardowy"/>
    <w:next w:val="Tabela-Siatka"/>
    <w:uiPriority w:val="39"/>
    <w:rsid w:val="003B5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99"/>
    <w:rsid w:val="002B4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ROZDZODDZOZNzmoznrozdzoddzartykuempunktem">
    <w:name w:val="Z/ROZDZ(ODDZ)_OZN – zm. ozn. rozdz. (oddz.) artykułem (punktem)"/>
    <w:next w:val="Normalny"/>
    <w:uiPriority w:val="29"/>
    <w:qFormat/>
    <w:rsid w:val="00420EF8"/>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420EF8"/>
    <w:pPr>
      <w:spacing w:line="360" w:lineRule="auto"/>
      <w:ind w:left="1020" w:hanging="510"/>
      <w:jc w:val="both"/>
    </w:pPr>
    <w:rPr>
      <w:rFonts w:ascii="Times" w:eastAsiaTheme="minorEastAsia" w:hAnsi="Times" w:cs="Arial"/>
      <w:szCs w:val="20"/>
    </w:rPr>
  </w:style>
  <w:style w:type="paragraph" w:customStyle="1" w:styleId="ZLITzmlitartykuempunktem">
    <w:name w:val="Z/LIT – zm. lit. artykułem (punktem)"/>
    <w:basedOn w:val="Normalny"/>
    <w:uiPriority w:val="32"/>
    <w:qFormat/>
    <w:rsid w:val="00420EF8"/>
    <w:pPr>
      <w:spacing w:line="360" w:lineRule="auto"/>
      <w:ind w:left="986" w:hanging="476"/>
      <w:jc w:val="both"/>
    </w:pPr>
    <w:rPr>
      <w:rFonts w:ascii="Times" w:eastAsiaTheme="minorEastAsia" w:hAnsi="Times"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6195">
      <w:bodyDiv w:val="1"/>
      <w:marLeft w:val="0"/>
      <w:marRight w:val="0"/>
      <w:marTop w:val="0"/>
      <w:marBottom w:val="0"/>
      <w:divBdr>
        <w:top w:val="none" w:sz="0" w:space="0" w:color="auto"/>
        <w:left w:val="none" w:sz="0" w:space="0" w:color="auto"/>
        <w:bottom w:val="none" w:sz="0" w:space="0" w:color="auto"/>
        <w:right w:val="none" w:sz="0" w:space="0" w:color="auto"/>
      </w:divBdr>
    </w:div>
    <w:div w:id="314649537">
      <w:bodyDiv w:val="1"/>
      <w:marLeft w:val="0"/>
      <w:marRight w:val="0"/>
      <w:marTop w:val="0"/>
      <w:marBottom w:val="0"/>
      <w:divBdr>
        <w:top w:val="none" w:sz="0" w:space="0" w:color="auto"/>
        <w:left w:val="none" w:sz="0" w:space="0" w:color="auto"/>
        <w:bottom w:val="none" w:sz="0" w:space="0" w:color="auto"/>
        <w:right w:val="none" w:sz="0" w:space="0" w:color="auto"/>
      </w:divBdr>
    </w:div>
    <w:div w:id="578373140">
      <w:bodyDiv w:val="1"/>
      <w:marLeft w:val="0"/>
      <w:marRight w:val="0"/>
      <w:marTop w:val="0"/>
      <w:marBottom w:val="0"/>
      <w:divBdr>
        <w:top w:val="none" w:sz="0" w:space="0" w:color="auto"/>
        <w:left w:val="none" w:sz="0" w:space="0" w:color="auto"/>
        <w:bottom w:val="none" w:sz="0" w:space="0" w:color="auto"/>
        <w:right w:val="none" w:sz="0" w:space="0" w:color="auto"/>
      </w:divBdr>
    </w:div>
    <w:div w:id="585071084">
      <w:bodyDiv w:val="1"/>
      <w:marLeft w:val="0"/>
      <w:marRight w:val="0"/>
      <w:marTop w:val="0"/>
      <w:marBottom w:val="0"/>
      <w:divBdr>
        <w:top w:val="none" w:sz="0" w:space="0" w:color="auto"/>
        <w:left w:val="none" w:sz="0" w:space="0" w:color="auto"/>
        <w:bottom w:val="none" w:sz="0" w:space="0" w:color="auto"/>
        <w:right w:val="none" w:sz="0" w:space="0" w:color="auto"/>
      </w:divBdr>
    </w:div>
    <w:div w:id="988366968">
      <w:bodyDiv w:val="1"/>
      <w:marLeft w:val="0"/>
      <w:marRight w:val="0"/>
      <w:marTop w:val="0"/>
      <w:marBottom w:val="0"/>
      <w:divBdr>
        <w:top w:val="none" w:sz="0" w:space="0" w:color="auto"/>
        <w:left w:val="none" w:sz="0" w:space="0" w:color="auto"/>
        <w:bottom w:val="none" w:sz="0" w:space="0" w:color="auto"/>
        <w:right w:val="none" w:sz="0" w:space="0" w:color="auto"/>
      </w:divBdr>
    </w:div>
    <w:div w:id="1068965005">
      <w:bodyDiv w:val="1"/>
      <w:marLeft w:val="0"/>
      <w:marRight w:val="0"/>
      <w:marTop w:val="0"/>
      <w:marBottom w:val="0"/>
      <w:divBdr>
        <w:top w:val="none" w:sz="0" w:space="0" w:color="auto"/>
        <w:left w:val="none" w:sz="0" w:space="0" w:color="auto"/>
        <w:bottom w:val="none" w:sz="0" w:space="0" w:color="auto"/>
        <w:right w:val="none" w:sz="0" w:space="0" w:color="auto"/>
      </w:divBdr>
    </w:div>
    <w:div w:id="1787237413">
      <w:bodyDiv w:val="1"/>
      <w:marLeft w:val="0"/>
      <w:marRight w:val="0"/>
      <w:marTop w:val="0"/>
      <w:marBottom w:val="0"/>
      <w:divBdr>
        <w:top w:val="none" w:sz="0" w:space="0" w:color="auto"/>
        <w:left w:val="none" w:sz="0" w:space="0" w:color="auto"/>
        <w:bottom w:val="none" w:sz="0" w:space="0" w:color="auto"/>
        <w:right w:val="none" w:sz="0" w:space="0" w:color="auto"/>
      </w:divBdr>
    </w:div>
    <w:div w:id="1936741994">
      <w:bodyDiv w:val="1"/>
      <w:marLeft w:val="0"/>
      <w:marRight w:val="0"/>
      <w:marTop w:val="0"/>
      <w:marBottom w:val="0"/>
      <w:divBdr>
        <w:top w:val="none" w:sz="0" w:space="0" w:color="auto"/>
        <w:left w:val="none" w:sz="0" w:space="0" w:color="auto"/>
        <w:bottom w:val="none" w:sz="0" w:space="0" w:color="auto"/>
        <w:right w:val="none" w:sz="0" w:space="0" w:color="auto"/>
      </w:divBdr>
    </w:div>
    <w:div w:id="2002347668">
      <w:bodyDiv w:val="1"/>
      <w:marLeft w:val="0"/>
      <w:marRight w:val="0"/>
      <w:marTop w:val="0"/>
      <w:marBottom w:val="0"/>
      <w:divBdr>
        <w:top w:val="none" w:sz="0" w:space="0" w:color="auto"/>
        <w:left w:val="none" w:sz="0" w:space="0" w:color="auto"/>
        <w:bottom w:val="none" w:sz="0" w:space="0" w:color="auto"/>
        <w:right w:val="none" w:sz="0" w:space="0" w:color="auto"/>
      </w:divBdr>
      <w:divsChild>
        <w:div w:id="1427992130">
          <w:marLeft w:val="0"/>
          <w:marRight w:val="0"/>
          <w:marTop w:val="0"/>
          <w:marBottom w:val="0"/>
          <w:divBdr>
            <w:top w:val="none" w:sz="0" w:space="0" w:color="auto"/>
            <w:left w:val="none" w:sz="0" w:space="0" w:color="auto"/>
            <w:bottom w:val="none" w:sz="0" w:space="0" w:color="auto"/>
            <w:right w:val="none" w:sz="0" w:space="0" w:color="auto"/>
          </w:divBdr>
          <w:divsChild>
            <w:div w:id="306470954">
              <w:marLeft w:val="0"/>
              <w:marRight w:val="0"/>
              <w:marTop w:val="0"/>
              <w:marBottom w:val="0"/>
              <w:divBdr>
                <w:top w:val="none" w:sz="0" w:space="0" w:color="auto"/>
                <w:left w:val="none" w:sz="0" w:space="0" w:color="auto"/>
                <w:bottom w:val="none" w:sz="0" w:space="0" w:color="auto"/>
                <w:right w:val="none" w:sz="0" w:space="0" w:color="auto"/>
              </w:divBdr>
              <w:divsChild>
                <w:div w:id="1614362695">
                  <w:marLeft w:val="0"/>
                  <w:marRight w:val="0"/>
                  <w:marTop w:val="0"/>
                  <w:marBottom w:val="0"/>
                  <w:divBdr>
                    <w:top w:val="none" w:sz="0" w:space="0" w:color="auto"/>
                    <w:left w:val="none" w:sz="0" w:space="0" w:color="auto"/>
                    <w:bottom w:val="none" w:sz="0" w:space="0" w:color="auto"/>
                    <w:right w:val="none" w:sz="0" w:space="0" w:color="auto"/>
                  </w:divBdr>
                  <w:divsChild>
                    <w:div w:id="1601641053">
                      <w:marLeft w:val="0"/>
                      <w:marRight w:val="0"/>
                      <w:marTop w:val="0"/>
                      <w:marBottom w:val="0"/>
                      <w:divBdr>
                        <w:top w:val="none" w:sz="0" w:space="0" w:color="auto"/>
                        <w:left w:val="none" w:sz="0" w:space="0" w:color="auto"/>
                        <w:bottom w:val="none" w:sz="0" w:space="0" w:color="auto"/>
                        <w:right w:val="none" w:sz="0" w:space="0" w:color="auto"/>
                      </w:divBdr>
                      <w:divsChild>
                        <w:div w:id="782529667">
                          <w:marLeft w:val="0"/>
                          <w:marRight w:val="0"/>
                          <w:marTop w:val="0"/>
                          <w:marBottom w:val="0"/>
                          <w:divBdr>
                            <w:top w:val="none" w:sz="0" w:space="0" w:color="auto"/>
                            <w:left w:val="none" w:sz="0" w:space="0" w:color="auto"/>
                            <w:bottom w:val="none" w:sz="0" w:space="0" w:color="auto"/>
                            <w:right w:val="none" w:sz="0" w:space="0" w:color="auto"/>
                          </w:divBdr>
                          <w:divsChild>
                            <w:div w:id="1394499455">
                              <w:marLeft w:val="0"/>
                              <w:marRight w:val="0"/>
                              <w:marTop w:val="0"/>
                              <w:marBottom w:val="0"/>
                              <w:divBdr>
                                <w:top w:val="none" w:sz="0" w:space="0" w:color="auto"/>
                                <w:left w:val="none" w:sz="0" w:space="0" w:color="auto"/>
                                <w:bottom w:val="none" w:sz="0" w:space="0" w:color="auto"/>
                                <w:right w:val="none" w:sz="0" w:space="0" w:color="auto"/>
                              </w:divBdr>
                              <w:divsChild>
                                <w:div w:id="1703478067">
                                  <w:marLeft w:val="0"/>
                                  <w:marRight w:val="0"/>
                                  <w:marTop w:val="0"/>
                                  <w:marBottom w:val="0"/>
                                  <w:divBdr>
                                    <w:top w:val="none" w:sz="0" w:space="0" w:color="auto"/>
                                    <w:left w:val="none" w:sz="0" w:space="0" w:color="auto"/>
                                    <w:bottom w:val="none" w:sz="0" w:space="0" w:color="auto"/>
                                    <w:right w:val="none" w:sz="0" w:space="0" w:color="auto"/>
                                  </w:divBdr>
                                  <w:divsChild>
                                    <w:div w:id="2092194772">
                                      <w:marLeft w:val="0"/>
                                      <w:marRight w:val="0"/>
                                      <w:marTop w:val="0"/>
                                      <w:marBottom w:val="0"/>
                                      <w:divBdr>
                                        <w:top w:val="none" w:sz="0" w:space="0" w:color="auto"/>
                                        <w:left w:val="none" w:sz="0" w:space="0" w:color="auto"/>
                                        <w:bottom w:val="none" w:sz="0" w:space="0" w:color="auto"/>
                                        <w:right w:val="none" w:sz="0" w:space="0" w:color="auto"/>
                                      </w:divBdr>
                                      <w:divsChild>
                                        <w:div w:id="1192307344">
                                          <w:marLeft w:val="0"/>
                                          <w:marRight w:val="0"/>
                                          <w:marTop w:val="0"/>
                                          <w:marBottom w:val="0"/>
                                          <w:divBdr>
                                            <w:top w:val="none" w:sz="0" w:space="0" w:color="auto"/>
                                            <w:left w:val="none" w:sz="0" w:space="0" w:color="auto"/>
                                            <w:bottom w:val="none" w:sz="0" w:space="0" w:color="auto"/>
                                            <w:right w:val="none" w:sz="0" w:space="0" w:color="auto"/>
                                          </w:divBdr>
                                          <w:divsChild>
                                            <w:div w:id="694698994">
                                              <w:marLeft w:val="0"/>
                                              <w:marRight w:val="0"/>
                                              <w:marTop w:val="0"/>
                                              <w:marBottom w:val="0"/>
                                              <w:divBdr>
                                                <w:top w:val="none" w:sz="0" w:space="0" w:color="auto"/>
                                                <w:left w:val="none" w:sz="0" w:space="0" w:color="auto"/>
                                                <w:bottom w:val="none" w:sz="0" w:space="0" w:color="auto"/>
                                                <w:right w:val="none" w:sz="0" w:space="0" w:color="auto"/>
                                              </w:divBdr>
                                              <w:divsChild>
                                                <w:div w:id="1782450291">
                                                  <w:marLeft w:val="0"/>
                                                  <w:marRight w:val="0"/>
                                                  <w:marTop w:val="0"/>
                                                  <w:marBottom w:val="0"/>
                                                  <w:divBdr>
                                                    <w:top w:val="none" w:sz="0" w:space="0" w:color="auto"/>
                                                    <w:left w:val="none" w:sz="0" w:space="0" w:color="auto"/>
                                                    <w:bottom w:val="none" w:sz="0" w:space="0" w:color="auto"/>
                                                    <w:right w:val="none" w:sz="0" w:space="0" w:color="auto"/>
                                                  </w:divBdr>
                                                  <w:divsChild>
                                                    <w:div w:id="193807704">
                                                      <w:marLeft w:val="0"/>
                                                      <w:marRight w:val="0"/>
                                                      <w:marTop w:val="0"/>
                                                      <w:marBottom w:val="0"/>
                                                      <w:divBdr>
                                                        <w:top w:val="none" w:sz="0" w:space="0" w:color="auto"/>
                                                        <w:left w:val="none" w:sz="0" w:space="0" w:color="auto"/>
                                                        <w:bottom w:val="none" w:sz="0" w:space="0" w:color="auto"/>
                                                        <w:right w:val="none" w:sz="0" w:space="0" w:color="auto"/>
                                                      </w:divBdr>
                                                    </w:div>
                                                  </w:divsChild>
                                                </w:div>
                                                <w:div w:id="1850409586">
                                                  <w:marLeft w:val="0"/>
                                                  <w:marRight w:val="0"/>
                                                  <w:marTop w:val="0"/>
                                                  <w:marBottom w:val="0"/>
                                                  <w:divBdr>
                                                    <w:top w:val="none" w:sz="0" w:space="0" w:color="auto"/>
                                                    <w:left w:val="none" w:sz="0" w:space="0" w:color="auto"/>
                                                    <w:bottom w:val="none" w:sz="0" w:space="0" w:color="auto"/>
                                                    <w:right w:val="none" w:sz="0" w:space="0" w:color="auto"/>
                                                  </w:divBdr>
                                                  <w:divsChild>
                                                    <w:div w:id="996034603">
                                                      <w:marLeft w:val="0"/>
                                                      <w:marRight w:val="0"/>
                                                      <w:marTop w:val="0"/>
                                                      <w:marBottom w:val="0"/>
                                                      <w:divBdr>
                                                        <w:top w:val="none" w:sz="0" w:space="0" w:color="auto"/>
                                                        <w:left w:val="none" w:sz="0" w:space="0" w:color="auto"/>
                                                        <w:bottom w:val="none" w:sz="0" w:space="0" w:color="auto"/>
                                                        <w:right w:val="none" w:sz="0" w:space="0" w:color="auto"/>
                                                      </w:divBdr>
                                                    </w:div>
                                                    <w:div w:id="2090349380">
                                                      <w:marLeft w:val="0"/>
                                                      <w:marRight w:val="0"/>
                                                      <w:marTop w:val="0"/>
                                                      <w:marBottom w:val="0"/>
                                                      <w:divBdr>
                                                        <w:top w:val="none" w:sz="0" w:space="0" w:color="auto"/>
                                                        <w:left w:val="none" w:sz="0" w:space="0" w:color="auto"/>
                                                        <w:bottom w:val="none" w:sz="0" w:space="0" w:color="auto"/>
                                                        <w:right w:val="none" w:sz="0" w:space="0" w:color="auto"/>
                                                      </w:divBdr>
                                                      <w:divsChild>
                                                        <w:div w:id="912814141">
                                                          <w:marLeft w:val="0"/>
                                                          <w:marRight w:val="0"/>
                                                          <w:marTop w:val="0"/>
                                                          <w:marBottom w:val="0"/>
                                                          <w:divBdr>
                                                            <w:top w:val="none" w:sz="0" w:space="0" w:color="auto"/>
                                                            <w:left w:val="none" w:sz="0" w:space="0" w:color="auto"/>
                                                            <w:bottom w:val="none" w:sz="0" w:space="0" w:color="auto"/>
                                                            <w:right w:val="none" w:sz="0" w:space="0" w:color="auto"/>
                                                          </w:divBdr>
                                                          <w:divsChild>
                                                            <w:div w:id="833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78700">
                                                      <w:marLeft w:val="0"/>
                                                      <w:marRight w:val="0"/>
                                                      <w:marTop w:val="0"/>
                                                      <w:marBottom w:val="0"/>
                                                      <w:divBdr>
                                                        <w:top w:val="none" w:sz="0" w:space="0" w:color="auto"/>
                                                        <w:left w:val="none" w:sz="0" w:space="0" w:color="auto"/>
                                                        <w:bottom w:val="none" w:sz="0" w:space="0" w:color="auto"/>
                                                        <w:right w:val="none" w:sz="0" w:space="0" w:color="auto"/>
                                                      </w:divBdr>
                                                      <w:divsChild>
                                                        <w:div w:id="236792225">
                                                          <w:marLeft w:val="0"/>
                                                          <w:marRight w:val="0"/>
                                                          <w:marTop w:val="0"/>
                                                          <w:marBottom w:val="0"/>
                                                          <w:divBdr>
                                                            <w:top w:val="none" w:sz="0" w:space="0" w:color="auto"/>
                                                            <w:left w:val="none" w:sz="0" w:space="0" w:color="auto"/>
                                                            <w:bottom w:val="none" w:sz="0" w:space="0" w:color="auto"/>
                                                            <w:right w:val="none" w:sz="0" w:space="0" w:color="auto"/>
                                                          </w:divBdr>
                                                          <w:divsChild>
                                                            <w:div w:id="162916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5761">
                                                      <w:marLeft w:val="0"/>
                                                      <w:marRight w:val="0"/>
                                                      <w:marTop w:val="0"/>
                                                      <w:marBottom w:val="0"/>
                                                      <w:divBdr>
                                                        <w:top w:val="none" w:sz="0" w:space="0" w:color="auto"/>
                                                        <w:left w:val="none" w:sz="0" w:space="0" w:color="auto"/>
                                                        <w:bottom w:val="none" w:sz="0" w:space="0" w:color="auto"/>
                                                        <w:right w:val="none" w:sz="0" w:space="0" w:color="auto"/>
                                                      </w:divBdr>
                                                      <w:divsChild>
                                                        <w:div w:id="922180652">
                                                          <w:marLeft w:val="0"/>
                                                          <w:marRight w:val="0"/>
                                                          <w:marTop w:val="0"/>
                                                          <w:marBottom w:val="0"/>
                                                          <w:divBdr>
                                                            <w:top w:val="none" w:sz="0" w:space="0" w:color="auto"/>
                                                            <w:left w:val="none" w:sz="0" w:space="0" w:color="auto"/>
                                                            <w:bottom w:val="none" w:sz="0" w:space="0" w:color="auto"/>
                                                            <w:right w:val="none" w:sz="0" w:space="0" w:color="auto"/>
                                                          </w:divBdr>
                                                          <w:divsChild>
                                                            <w:div w:id="9320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486070">
                                                      <w:marLeft w:val="0"/>
                                                      <w:marRight w:val="0"/>
                                                      <w:marTop w:val="0"/>
                                                      <w:marBottom w:val="0"/>
                                                      <w:divBdr>
                                                        <w:top w:val="none" w:sz="0" w:space="0" w:color="auto"/>
                                                        <w:left w:val="none" w:sz="0" w:space="0" w:color="auto"/>
                                                        <w:bottom w:val="none" w:sz="0" w:space="0" w:color="auto"/>
                                                        <w:right w:val="none" w:sz="0" w:space="0" w:color="auto"/>
                                                      </w:divBdr>
                                                      <w:divsChild>
                                                        <w:div w:id="3106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2510">
                                                  <w:marLeft w:val="0"/>
                                                  <w:marRight w:val="0"/>
                                                  <w:marTop w:val="0"/>
                                                  <w:marBottom w:val="0"/>
                                                  <w:divBdr>
                                                    <w:top w:val="none" w:sz="0" w:space="0" w:color="auto"/>
                                                    <w:left w:val="none" w:sz="0" w:space="0" w:color="auto"/>
                                                    <w:bottom w:val="none" w:sz="0" w:space="0" w:color="auto"/>
                                                    <w:right w:val="none" w:sz="0" w:space="0" w:color="auto"/>
                                                  </w:divBdr>
                                                  <w:divsChild>
                                                    <w:div w:id="16344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37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5D53E-34A9-47D6-9AAF-E5FB9670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1907</Words>
  <Characters>11446</Characters>
  <Application>Microsoft Office Word</Application>
  <DocSecurity>0</DocSecurity>
  <Lines>95</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KPRM</Company>
  <LinksUpToDate>false</LinksUpToDate>
  <CharactersWithSpaces>13327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Izabela</dc:creator>
  <cp:lastModifiedBy>Grochowska Agnieszka</cp:lastModifiedBy>
  <cp:revision>2</cp:revision>
  <cp:lastPrinted>2019-07-16T08:35:00Z</cp:lastPrinted>
  <dcterms:created xsi:type="dcterms:W3CDTF">2022-11-04T14:59:00Z</dcterms:created>
  <dcterms:modified xsi:type="dcterms:W3CDTF">2022-11-04T14:59:00Z</dcterms:modified>
</cp:coreProperties>
</file>